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37576" w:rsidRPr="00F37576" w:rsidP="00F37576">
      <w:pPr>
        <w:spacing w:line="480" w:lineRule="auto"/>
        <w:ind w:firstLine="720"/>
        <w:jc w:val="both"/>
        <w:rPr>
          <w:rFonts w:ascii="Times New Roman" w:hAnsi="Times New Roman" w:cs="Times New Roman"/>
          <w:b/>
          <w:sz w:val="24"/>
          <w:szCs w:val="24"/>
        </w:rPr>
      </w:pPr>
    </w:p>
    <w:p w:rsidR="00F37576" w:rsidRPr="00F37576" w:rsidP="00F37576">
      <w:pPr>
        <w:spacing w:line="480" w:lineRule="auto"/>
        <w:ind w:firstLine="720"/>
        <w:jc w:val="both"/>
        <w:rPr>
          <w:rFonts w:ascii="Times New Roman" w:hAnsi="Times New Roman" w:cs="Times New Roman"/>
          <w:b/>
          <w:sz w:val="24"/>
          <w:szCs w:val="24"/>
        </w:rPr>
      </w:pPr>
    </w:p>
    <w:p w:rsidR="00F37576" w:rsidRPr="00F37576" w:rsidP="00F37576">
      <w:pPr>
        <w:spacing w:line="480" w:lineRule="auto"/>
        <w:ind w:firstLine="720"/>
        <w:jc w:val="both"/>
        <w:rPr>
          <w:rFonts w:ascii="Times New Roman" w:hAnsi="Times New Roman" w:cs="Times New Roman"/>
          <w:b/>
          <w:sz w:val="24"/>
          <w:szCs w:val="24"/>
        </w:rPr>
      </w:pPr>
    </w:p>
    <w:p w:rsidR="00F37576" w:rsidRPr="00F37576" w:rsidP="00BC0AC5">
      <w:pPr>
        <w:spacing w:line="480" w:lineRule="auto"/>
        <w:jc w:val="both"/>
        <w:rPr>
          <w:rFonts w:ascii="Times New Roman" w:hAnsi="Times New Roman" w:cs="Times New Roman"/>
          <w:sz w:val="24"/>
          <w:szCs w:val="24"/>
        </w:rPr>
      </w:pPr>
    </w:p>
    <w:p w:rsidR="00F37576" w:rsidRPr="00F37576" w:rsidP="00F37576">
      <w:pPr>
        <w:spacing w:line="480" w:lineRule="auto"/>
        <w:ind w:firstLine="720"/>
        <w:jc w:val="both"/>
        <w:rPr>
          <w:rFonts w:ascii="Times New Roman" w:hAnsi="Times New Roman" w:cs="Times New Roman"/>
          <w:b/>
          <w:sz w:val="24"/>
          <w:szCs w:val="24"/>
        </w:rPr>
      </w:pPr>
    </w:p>
    <w:p w:rsidR="00F37576" w:rsidRPr="00F37576" w:rsidP="00BC0AC5">
      <w:pPr>
        <w:spacing w:line="480" w:lineRule="auto"/>
        <w:ind w:firstLine="720"/>
        <w:jc w:val="center"/>
        <w:rPr>
          <w:rFonts w:ascii="Times New Roman" w:hAnsi="Times New Roman" w:cs="Times New Roman"/>
          <w:b/>
          <w:sz w:val="24"/>
          <w:szCs w:val="24"/>
        </w:rPr>
      </w:pPr>
    </w:p>
    <w:p w:rsidR="00F37576" w:rsidRPr="00F37576" w:rsidP="00BC0AC5">
      <w:pPr>
        <w:spacing w:line="480" w:lineRule="auto"/>
        <w:ind w:firstLine="720"/>
        <w:jc w:val="center"/>
        <w:rPr>
          <w:rFonts w:ascii="Times New Roman" w:hAnsi="Times New Roman" w:cs="Times New Roman"/>
          <w:sz w:val="24"/>
          <w:szCs w:val="24"/>
        </w:rPr>
      </w:pPr>
      <w:r w:rsidRPr="00F37576">
        <w:rPr>
          <w:rFonts w:ascii="Times New Roman" w:hAnsi="Times New Roman" w:cs="Times New Roman"/>
          <w:sz w:val="24"/>
          <w:szCs w:val="24"/>
        </w:rPr>
        <w:t>Name</w:t>
      </w:r>
    </w:p>
    <w:p w:rsidR="00F37576" w:rsidRPr="00F37576" w:rsidP="00BC0AC5">
      <w:pPr>
        <w:spacing w:line="480" w:lineRule="auto"/>
        <w:ind w:firstLine="720"/>
        <w:jc w:val="center"/>
        <w:rPr>
          <w:rFonts w:ascii="Times New Roman" w:hAnsi="Times New Roman" w:cs="Times New Roman"/>
          <w:sz w:val="24"/>
          <w:szCs w:val="24"/>
        </w:rPr>
      </w:pPr>
      <w:r w:rsidRPr="00F37576">
        <w:rPr>
          <w:rFonts w:ascii="Times New Roman" w:hAnsi="Times New Roman" w:cs="Times New Roman"/>
          <w:sz w:val="24"/>
          <w:szCs w:val="24"/>
        </w:rPr>
        <w:t>Institution</w:t>
      </w:r>
    </w:p>
    <w:p w:rsidR="00F37576" w:rsidRPr="00F37576" w:rsidP="00BC0AC5">
      <w:pPr>
        <w:spacing w:line="480" w:lineRule="auto"/>
        <w:ind w:firstLine="720"/>
        <w:jc w:val="center"/>
        <w:rPr>
          <w:rFonts w:ascii="Times New Roman" w:hAnsi="Times New Roman" w:cs="Times New Roman"/>
          <w:sz w:val="24"/>
          <w:szCs w:val="24"/>
        </w:rPr>
      </w:pPr>
      <w:r w:rsidRPr="00F37576">
        <w:rPr>
          <w:rFonts w:ascii="Times New Roman" w:hAnsi="Times New Roman" w:cs="Times New Roman"/>
          <w:sz w:val="24"/>
          <w:szCs w:val="24"/>
        </w:rPr>
        <w:t>Course</w:t>
      </w:r>
    </w:p>
    <w:p w:rsidR="00F37576" w:rsidRPr="00BC0AC5" w:rsidP="00BC0AC5">
      <w:pPr>
        <w:spacing w:line="480" w:lineRule="auto"/>
        <w:ind w:firstLine="720"/>
        <w:jc w:val="center"/>
        <w:rPr>
          <w:rFonts w:ascii="Times New Roman" w:hAnsi="Times New Roman" w:cs="Times New Roman"/>
          <w:sz w:val="24"/>
          <w:szCs w:val="24"/>
        </w:rPr>
      </w:pPr>
      <w:r w:rsidRPr="00F37576">
        <w:rPr>
          <w:rFonts w:ascii="Times New Roman" w:hAnsi="Times New Roman" w:cs="Times New Roman"/>
          <w:sz w:val="24"/>
          <w:szCs w:val="24"/>
        </w:rPr>
        <w:t>Date</w:t>
      </w:r>
    </w:p>
    <w:p w:rsidR="00BC0AC5" w:rsidP="00BC0AC5">
      <w:pPr>
        <w:spacing w:line="480" w:lineRule="auto"/>
        <w:ind w:firstLine="720"/>
        <w:jc w:val="center"/>
        <w:rPr>
          <w:rFonts w:ascii="Times New Roman" w:hAnsi="Times New Roman" w:cs="Times New Roman"/>
          <w:b/>
          <w:sz w:val="24"/>
          <w:szCs w:val="24"/>
        </w:rPr>
      </w:pPr>
    </w:p>
    <w:p w:rsidR="00BC0AC5" w:rsidP="00BC0AC5">
      <w:pPr>
        <w:spacing w:line="480" w:lineRule="auto"/>
        <w:ind w:firstLine="720"/>
        <w:jc w:val="center"/>
        <w:rPr>
          <w:rFonts w:ascii="Times New Roman" w:hAnsi="Times New Roman" w:cs="Times New Roman"/>
          <w:b/>
          <w:sz w:val="24"/>
          <w:szCs w:val="24"/>
        </w:rPr>
      </w:pPr>
    </w:p>
    <w:p w:rsidR="00BC0AC5" w:rsidP="00BC0AC5">
      <w:pPr>
        <w:spacing w:line="480" w:lineRule="auto"/>
        <w:ind w:firstLine="720"/>
        <w:jc w:val="center"/>
        <w:rPr>
          <w:rFonts w:ascii="Times New Roman" w:hAnsi="Times New Roman" w:cs="Times New Roman"/>
          <w:b/>
          <w:sz w:val="24"/>
          <w:szCs w:val="24"/>
        </w:rPr>
      </w:pPr>
    </w:p>
    <w:p w:rsidR="00BC0AC5" w:rsidP="00BC0AC5">
      <w:pPr>
        <w:spacing w:line="480" w:lineRule="auto"/>
        <w:ind w:firstLine="720"/>
        <w:jc w:val="center"/>
        <w:rPr>
          <w:rFonts w:ascii="Times New Roman" w:hAnsi="Times New Roman" w:cs="Times New Roman"/>
          <w:b/>
          <w:sz w:val="24"/>
          <w:szCs w:val="24"/>
        </w:rPr>
      </w:pPr>
    </w:p>
    <w:p w:rsidR="00BC0AC5" w:rsidP="00BC0AC5">
      <w:pPr>
        <w:spacing w:line="480" w:lineRule="auto"/>
        <w:ind w:firstLine="720"/>
        <w:jc w:val="center"/>
        <w:rPr>
          <w:rFonts w:ascii="Times New Roman" w:hAnsi="Times New Roman" w:cs="Times New Roman"/>
          <w:b/>
          <w:sz w:val="24"/>
          <w:szCs w:val="24"/>
        </w:rPr>
      </w:pPr>
    </w:p>
    <w:p w:rsidR="00BC0AC5" w:rsidP="00BC0AC5">
      <w:pPr>
        <w:spacing w:line="480" w:lineRule="auto"/>
        <w:ind w:firstLine="720"/>
        <w:jc w:val="center"/>
        <w:rPr>
          <w:rFonts w:ascii="Times New Roman" w:hAnsi="Times New Roman" w:cs="Times New Roman"/>
          <w:b/>
          <w:sz w:val="24"/>
          <w:szCs w:val="24"/>
        </w:rPr>
      </w:pPr>
    </w:p>
    <w:p w:rsidR="00BC0AC5" w:rsidP="00BC0AC5">
      <w:pPr>
        <w:spacing w:line="480" w:lineRule="auto"/>
        <w:ind w:firstLine="720"/>
        <w:jc w:val="center"/>
        <w:rPr>
          <w:rFonts w:ascii="Times New Roman" w:hAnsi="Times New Roman" w:cs="Times New Roman"/>
          <w:b/>
          <w:sz w:val="24"/>
          <w:szCs w:val="24"/>
        </w:rPr>
      </w:pPr>
    </w:p>
    <w:p w:rsidR="00037FD4" w:rsidRPr="00F37576" w:rsidP="00BC0AC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EXECUTIVE SUMMARY</w:t>
      </w:r>
    </w:p>
    <w:p w:rsidR="00F859F7"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The United States of America Attorney's Office for the Massachusetts District is the leading and highest leading agency of enforcing federal law in the states.  They are the ninety-four offices of the Attorneys i</w:t>
      </w:r>
      <w:r w:rsidRPr="00F37576" w:rsidR="00872F08">
        <w:rPr>
          <w:rFonts w:ascii="Times New Roman" w:hAnsi="Times New Roman" w:cs="Times New Roman"/>
          <w:sz w:val="24"/>
          <w:szCs w:val="24"/>
        </w:rPr>
        <w:t>n the United States of America and territories. However, each office is obliged with a unique representation of each district. These offices are said to be working with the investigative agencies of the federal, which include Homeland Security investigations, the Federal Bureau of Investigation, as well as Drug Enforcement Administration. All these agencies are considered to be prosecutions done on federal laws like frauds on health care, federal laws, corruption conducted in public offices or occasions, laundering of money, trafficking of firearms, and exploitation of children. 
</w:t>
      </w:r>
    </w:p>
    <w:p w:rsidR="00872F08"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In this case, </w:t>
      </w:r>
      <w:r w:rsidRPr="00F37576" w:rsidR="003C54F1">
        <w:rPr>
          <w:rFonts w:ascii="Times New Roman" w:hAnsi="Times New Roman" w:cs="Times New Roman"/>
          <w:sz w:val="24"/>
          <w:szCs w:val="24"/>
        </w:rPr>
        <w:t xml:space="preserve">a gas explosion is caused in Massachusetts in the Merrimack Valley, which is also referred to as ''Fire in the Valley' 'due to deprived oversight and management, which is weak. This caused contributed to the casting of an iron pipe that was abandoned improperly.  The destruction is said to have occurred from the over-pressurization of the </w:t>
      </w:r>
      <w:r w:rsidRPr="00F37576" w:rsidR="009F7484">
        <w:rPr>
          <w:rFonts w:ascii="Times New Roman" w:hAnsi="Times New Roman" w:cs="Times New Roman"/>
          <w:sz w:val="24"/>
          <w:szCs w:val="24"/>
        </w:rPr>
        <w:t xml:space="preserve">system of distributing natural gas in the area. </w:t>
      </w:r>
    </w:p>
    <w:p w:rsidR="009F7484"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There is the NTSB implementation, which is used to determine the probable cause </w:t>
      </w:r>
      <w:r w:rsidRPr="00F37576" w:rsidR="006A0A94">
        <w:rPr>
          <w:rFonts w:ascii="Times New Roman" w:hAnsi="Times New Roman" w:cs="Times New Roman"/>
          <w:sz w:val="24"/>
          <w:szCs w:val="24"/>
        </w:rPr>
        <w:t xml:space="preserve">of the explosion. However, it gives its findings, which suggest that the explosion was caused by the poor engineering management of the Columbia Gas of Massachusetts.  The company's engineering management failed in the planning, reviewing, and overseeing of the construction project.  This resulted in the abandonment of primary cast iron, </w:t>
      </w:r>
      <w:r w:rsidRPr="00F37576" w:rsidR="005A09FD">
        <w:rPr>
          <w:rFonts w:ascii="Times New Roman" w:hAnsi="Times New Roman" w:cs="Times New Roman"/>
          <w:sz w:val="24"/>
          <w:szCs w:val="24"/>
        </w:rPr>
        <w:t xml:space="preserve">the regulating sensor relocating where the cast had occurred. </w:t>
      </w:r>
    </w:p>
    <w:p w:rsidR="005A09FD"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A case is represented before a United States District Court judge by the victims of the explosion. The explosion has caused many evacuations, burning of homesteads, damaging families, and even loss of lives. In conjunction with the victims' losses and damage, a judge accepts the plea on an agreement that is reached between Columbia Gas Massachusetts and federal prosecutors.  However, this agreement resulted in wrapping up a criminal case </w:t>
      </w:r>
      <w:r w:rsidRPr="00F37576" w:rsidR="00040393">
        <w:rPr>
          <w:rFonts w:ascii="Times New Roman" w:hAnsi="Times New Roman" w:cs="Times New Roman"/>
          <w:sz w:val="24"/>
          <w:szCs w:val="24"/>
        </w:rPr>
        <w:t xml:space="preserve">that led to the NiSource Inc. subsidiary's charging with blasphemous federal safety of pipelines that are ahead </w:t>
      </w:r>
      <w:r w:rsidRPr="00F37576" w:rsidR="004655D5">
        <w:rPr>
          <w:rFonts w:ascii="Times New Roman" w:hAnsi="Times New Roman" w:cs="Times New Roman"/>
          <w:sz w:val="24"/>
          <w:szCs w:val="24"/>
        </w:rPr>
        <w:t>of sequences</w:t>
      </w:r>
      <w:r w:rsidRPr="00F37576" w:rsidR="00040393">
        <w:rPr>
          <w:rFonts w:ascii="Times New Roman" w:hAnsi="Times New Roman" w:cs="Times New Roman"/>
          <w:sz w:val="24"/>
          <w:szCs w:val="24"/>
        </w:rPr>
        <w:t xml:space="preserve"> of disastrous fires and explosions and fires.</w:t>
      </w:r>
    </w:p>
    <w:p w:rsidR="004655D5"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From the lawsuit, th</w:t>
      </w:r>
      <w:r w:rsidRPr="00F37576" w:rsidR="00342D14">
        <w:rPr>
          <w:rFonts w:ascii="Times New Roman" w:hAnsi="Times New Roman" w:cs="Times New Roman"/>
          <w:sz w:val="24"/>
          <w:szCs w:val="24"/>
        </w:rPr>
        <w:t xml:space="preserve">ree key </w:t>
      </w:r>
      <w:r w:rsidRPr="00F37576">
        <w:rPr>
          <w:rFonts w:ascii="Times New Roman" w:hAnsi="Times New Roman" w:cs="Times New Roman"/>
          <w:sz w:val="24"/>
          <w:szCs w:val="24"/>
        </w:rPr>
        <w:t>issues are having a significant impact on the lawsuit are emerging. Those issues include.
</w:t>
      </w:r>
    </w:p>
    <w:p w:rsidR="004655D5" w:rsidRPr="00F37576" w:rsidP="00F37576">
      <w:pPr>
        <w:pStyle w:val="ListParagraph"/>
        <w:numPr>
          <w:ilvl w:val="0"/>
          <w:numId w:val="1"/>
        </w:num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Settlement </w:t>
      </w:r>
    </w:p>
    <w:p w:rsidR="004655D5" w:rsidRPr="00F37576" w:rsidP="00F37576">
      <w:pPr>
        <w:pStyle w:val="ListParagraph"/>
        <w:numPr>
          <w:ilvl w:val="0"/>
          <w:numId w:val="1"/>
        </w:num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Payment</w:t>
      </w:r>
    </w:p>
    <w:p w:rsidR="002C24FD" w:rsidRPr="00F37576" w:rsidP="00F37576">
      <w:pPr>
        <w:pStyle w:val="ListParagraph"/>
        <w:numPr>
          <w:ilvl w:val="0"/>
          <w:numId w:val="1"/>
        </w:num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An objection of a settlement
</w:t>
      </w:r>
    </w:p>
    <w:p w:rsidR="002C24FD" w:rsidRPr="00F37576" w:rsidP="00F37576">
      <w:pPr>
        <w:spacing w:line="480" w:lineRule="auto"/>
        <w:ind w:firstLine="720"/>
        <w:jc w:val="both"/>
        <w:rPr>
          <w:rFonts w:ascii="Times New Roman" w:hAnsi="Times New Roman" w:cs="Times New Roman"/>
          <w:b/>
          <w:sz w:val="24"/>
          <w:szCs w:val="24"/>
        </w:rPr>
      </w:pPr>
    </w:p>
    <w:p w:rsidR="004655D5" w:rsidRPr="00F37576" w:rsidP="00BC0AC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BACKGROUND</w:t>
      </w:r>
    </w:p>
    <w:p w:rsidR="00F44DE6"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This case's background is based on a lawsuit of a case that is seeking to recuperate money in terms of compensation for businesses and people who are armed by the incident of the Columbia </w:t>
      </w:r>
      <w:r w:rsidRPr="00F37576" w:rsidR="00EA3A8E">
        <w:rPr>
          <w:rFonts w:ascii="Times New Roman" w:hAnsi="Times New Roman" w:cs="Times New Roman"/>
          <w:sz w:val="24"/>
          <w:szCs w:val="24"/>
        </w:rPr>
        <w:t xml:space="preserve">Gas of Massachusetts. This case is being overseen by Judge James F. Lang, who belongs to the Essex County Superior Court of Massachusetts. During the </w:t>
      </w:r>
      <w:r w:rsidRPr="00F37576" w:rsidR="0036288E">
        <w:rPr>
          <w:rFonts w:ascii="Times New Roman" w:hAnsi="Times New Roman" w:cs="Times New Roman"/>
          <w:sz w:val="24"/>
          <w:szCs w:val="24"/>
        </w:rPr>
        <w:t>lawsuit,</w:t>
      </w:r>
      <w:r w:rsidRPr="00F37576" w:rsidR="00EA3A8E">
        <w:rPr>
          <w:rFonts w:ascii="Times New Roman" w:hAnsi="Times New Roman" w:cs="Times New Roman"/>
          <w:sz w:val="24"/>
          <w:szCs w:val="24"/>
        </w:rPr>
        <w:t xml:space="preserve"> the plaintiff in the case alleged </w:t>
      </w:r>
      <w:r w:rsidRPr="00F37576" w:rsidR="00444BCC">
        <w:rPr>
          <w:rFonts w:ascii="Times New Roman" w:hAnsi="Times New Roman" w:cs="Times New Roman"/>
          <w:sz w:val="24"/>
          <w:szCs w:val="24"/>
        </w:rPr>
        <w:t xml:space="preserve">that the Columbia Gas caused the incident; as a result, the action class was going to suffer from actual property damage, expenses on displacement, income loses which was incurred in businesses, damaging of other people </w:t>
      </w:r>
      <w:r w:rsidRPr="00F37576" w:rsidR="00342D14">
        <w:rPr>
          <w:rFonts w:ascii="Times New Roman" w:hAnsi="Times New Roman" w:cs="Times New Roman"/>
          <w:sz w:val="24"/>
          <w:szCs w:val="24"/>
        </w:rPr>
        <w:t>property,</w:t>
      </w:r>
      <w:r w:rsidRPr="00F37576" w:rsidR="00444BCC">
        <w:rPr>
          <w:rFonts w:ascii="Times New Roman" w:hAnsi="Times New Roman" w:cs="Times New Roman"/>
          <w:sz w:val="24"/>
          <w:szCs w:val="24"/>
        </w:rPr>
        <w:t xml:space="preserve"> loss of wages emotional </w:t>
      </w:r>
      <w:r w:rsidRPr="00F37576" w:rsidR="00342D14">
        <w:rPr>
          <w:rFonts w:ascii="Times New Roman" w:hAnsi="Times New Roman" w:cs="Times New Roman"/>
          <w:sz w:val="24"/>
          <w:szCs w:val="24"/>
        </w:rPr>
        <w:t>distress,</w:t>
      </w:r>
      <w:r w:rsidRPr="00F37576" w:rsidR="00444BCC">
        <w:rPr>
          <w:rFonts w:ascii="Times New Roman" w:hAnsi="Times New Roman" w:cs="Times New Roman"/>
          <w:sz w:val="24"/>
          <w:szCs w:val="24"/>
        </w:rPr>
        <w:t xml:space="preserve"> lessening of the value of a property</w:t>
      </w:r>
      <w:r w:rsidRPr="00F37576" w:rsidR="00342D14">
        <w:rPr>
          <w:rFonts w:ascii="Times New Roman" w:hAnsi="Times New Roman" w:cs="Times New Roman"/>
          <w:sz w:val="24"/>
          <w:szCs w:val="24"/>
        </w:rPr>
        <w:t>, disruption</w:t>
      </w:r>
      <w:r w:rsidRPr="00F37576" w:rsidR="00444BCC">
        <w:rPr>
          <w:rFonts w:ascii="Times New Roman" w:hAnsi="Times New Roman" w:cs="Times New Roman"/>
          <w:sz w:val="24"/>
          <w:szCs w:val="24"/>
        </w:rPr>
        <w:t xml:space="preserve"> of people, causing of </w:t>
      </w:r>
      <w:r w:rsidRPr="00F37576" w:rsidR="00444BCC">
        <w:rPr>
          <w:rFonts w:ascii="Times New Roman" w:hAnsi="Times New Roman" w:cs="Times New Roman"/>
          <w:sz w:val="24"/>
          <w:szCs w:val="24"/>
        </w:rPr>
        <w:t>inconveniences, loss of enjoyment and use income in businesses as well as loss of goodwill.  The Columbia Gas denied the legal responsibility for the damages they were alleged within the court.
</w:t>
      </w:r>
    </w:p>
    <w:p w:rsidR="00A55861"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Moreover, the Columbia Gas Massachusetts, the company which is </w:t>
      </w:r>
      <w:r w:rsidRPr="00F37576" w:rsidR="00352080">
        <w:rPr>
          <w:rFonts w:ascii="Times New Roman" w:hAnsi="Times New Roman" w:cs="Times New Roman"/>
          <w:sz w:val="24"/>
          <w:szCs w:val="24"/>
        </w:rPr>
        <w:t>considered</w:t>
      </w:r>
      <w:r w:rsidRPr="00F37576">
        <w:rPr>
          <w:rFonts w:ascii="Times New Roman" w:hAnsi="Times New Roman" w:cs="Times New Roman"/>
          <w:sz w:val="24"/>
          <w:szCs w:val="24"/>
        </w:rPr>
        <w:t xml:space="preserve"> as the plaintiff in the case, pleaded for guilty</w:t>
      </w:r>
      <w:r w:rsidRPr="00F37576" w:rsidR="00CC3000">
        <w:rPr>
          <w:rFonts w:ascii="Times New Roman" w:hAnsi="Times New Roman" w:cs="Times New Roman"/>
          <w:sz w:val="24"/>
          <w:szCs w:val="24"/>
        </w:rPr>
        <w:t xml:space="preserve"> in the natural disaster in 2018, in the Merrimack Valley accepted to pay $56 million and also transfer all its business to found in Massachusetts to Eversource before the return of cold weather. This agreement was announced by Maura Healey, the Attorney General, on a Thursday.   During the announcement, the attorney general said that the agreement was going to resolve her office's investigation</w:t>
      </w:r>
      <w:r w:rsidRPr="00F37576" w:rsidR="000C619C">
        <w:rPr>
          <w:rFonts w:ascii="Times New Roman" w:hAnsi="Times New Roman" w:cs="Times New Roman"/>
          <w:sz w:val="24"/>
          <w:szCs w:val="24"/>
        </w:rPr>
        <w:t xml:space="preserve">. These investigations </w:t>
      </w:r>
      <w:r w:rsidRPr="00F37576" w:rsidR="00CC3000">
        <w:rPr>
          <w:rFonts w:ascii="Times New Roman" w:hAnsi="Times New Roman" w:cs="Times New Roman"/>
          <w:sz w:val="24"/>
          <w:szCs w:val="24"/>
        </w:rPr>
        <w:t xml:space="preserve">were concerning the Columbia Gas for going against the laws protecting the consumer in the state, as well as </w:t>
      </w:r>
      <w:r w:rsidRPr="00F37576" w:rsidR="000C619C">
        <w:rPr>
          <w:rFonts w:ascii="Times New Roman" w:hAnsi="Times New Roman" w:cs="Times New Roman"/>
          <w:sz w:val="24"/>
          <w:szCs w:val="24"/>
        </w:rPr>
        <w:t>the department that was concerned with utility inquiries for the public into the pipeline safety compliance and responses related to the emergency on the company's explosion on September 2018.
</w:t>
      </w:r>
    </w:p>
    <w:p w:rsidR="000C619C"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Also, the settlement included $56 million was to be paid from the p</w:t>
      </w:r>
      <w:r w:rsidRPr="00F37576" w:rsidR="006E6443">
        <w:rPr>
          <w:rFonts w:ascii="Times New Roman" w:hAnsi="Times New Roman" w:cs="Times New Roman"/>
          <w:sz w:val="24"/>
          <w:szCs w:val="24"/>
        </w:rPr>
        <w:t>arent company, which is NiSource, an amount that was larger than the $53 million, which was the criminal fine that was imposed by a federal judge. This acted as the formation basis of a new ''Energy Relief Fund'' that would assist about a low-income of 26,000 to the customers of Columbia Gas. This help was going to occur by smearing away almost $15 million in the gas debts, as said by Healey. 
</w:t>
      </w:r>
    </w:p>
    <w:p w:rsidR="00404CE1"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Still, under the settlement, the remaining amount of money that is $41 million, was directed to go to the Renewal Fund of Merrimack Valley. Under the renewal fund, the money was going to be used for grants for owners of homes and programs associated with </w:t>
      </w:r>
      <w:r w:rsidRPr="00F37576">
        <w:rPr>
          <w:rFonts w:ascii="Times New Roman" w:hAnsi="Times New Roman" w:cs="Times New Roman"/>
          <w:sz w:val="24"/>
          <w:szCs w:val="24"/>
        </w:rPr>
        <w:t xml:space="preserve">energy. Never the less, the renewal funds were to be on tenants, municipalities which were in Lawrence, businesses, North Andover and Andover. Still, the same money will provide share for the </w:t>
      </w:r>
      <w:r w:rsidRPr="00F37576" w:rsidR="00FA57D6">
        <w:rPr>
          <w:rFonts w:ascii="Times New Roman" w:hAnsi="Times New Roman" w:cs="Times New Roman"/>
          <w:sz w:val="24"/>
          <w:szCs w:val="24"/>
        </w:rPr>
        <w:t>owner’s</w:t>
      </w:r>
      <w:r w:rsidRPr="00F37576" w:rsidR="00CB3B94">
        <w:rPr>
          <w:rFonts w:ascii="Times New Roman" w:hAnsi="Times New Roman" w:cs="Times New Roman"/>
          <w:sz w:val="24"/>
          <w:szCs w:val="24"/>
        </w:rPr>
        <w:t xml:space="preserve"> property, which will enable them to improve their properties to permit</w:t>
      </w:r>
      <w:r w:rsidRPr="00F37576" w:rsidR="00FA57D6">
        <w:rPr>
          <w:rFonts w:ascii="Times New Roman" w:hAnsi="Times New Roman" w:cs="Times New Roman"/>
          <w:sz w:val="24"/>
          <w:szCs w:val="24"/>
        </w:rPr>
        <w:t xml:space="preserve"> the consumption of more efficient tools of energy.  The office of Healey and the energy resources department was given the mandate of determining the Fund's distribution but in accordance with the office of the attorney ge</w:t>
      </w:r>
      <w:r w:rsidRPr="00F37576">
        <w:rPr>
          <w:rFonts w:ascii="Times New Roman" w:hAnsi="Times New Roman" w:cs="Times New Roman"/>
          <w:sz w:val="24"/>
          <w:szCs w:val="24"/>
        </w:rPr>
        <w:t>neral and the agreement.
</w:t>
      </w:r>
    </w:p>
    <w:p w:rsidR="00342D14" w:rsidRPr="00F37576" w:rsidP="00BC0AC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KEY ISSUES IDENTIFICATION</w:t>
      </w:r>
    </w:p>
    <w:p w:rsidR="00404CE1" w:rsidRPr="00BC0AC5" w:rsidP="00BC0AC5">
      <w:pPr>
        <w:spacing w:line="480" w:lineRule="auto"/>
        <w:ind w:firstLine="720"/>
        <w:jc w:val="center"/>
        <w:rPr>
          <w:rFonts w:ascii="Times New Roman" w:hAnsi="Times New Roman" w:cs="Times New Roman"/>
          <w:b/>
          <w:sz w:val="24"/>
          <w:szCs w:val="24"/>
        </w:rPr>
      </w:pPr>
      <w:r w:rsidRPr="00BC0AC5">
        <w:rPr>
          <w:rFonts w:ascii="Times New Roman" w:hAnsi="Times New Roman" w:cs="Times New Roman"/>
          <w:b/>
          <w:sz w:val="24"/>
          <w:szCs w:val="24"/>
        </w:rPr>
        <w:t>Issue 1</w:t>
      </w:r>
    </w:p>
    <w:p w:rsidR="00404CE1"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Settlement emerges as the first issue in the Columbian Gas of Massachusetts. Settlement can be defined as an official covenant or agreement met by two or more parties to resolve a conflict or a dispute that might exist among the different parties. In the lawsuit concerning the Columbian Gas of Massachusetts, the defendants, who are the victims of the gas explosion in the ''fire in the valley'' are representing the case through the office of the Attorney general requesting for the r</w:t>
      </w:r>
      <w:r w:rsidRPr="00F37576" w:rsidR="003F02C3">
        <w:rPr>
          <w:rFonts w:ascii="Times New Roman" w:hAnsi="Times New Roman" w:cs="Times New Roman"/>
          <w:sz w:val="24"/>
          <w:szCs w:val="24"/>
        </w:rPr>
        <w:t>ecovery of their lost money, harm on resources and homesteads as well as peoples harm and loss of lives.</w:t>
      </w:r>
    </w:p>
    <w:p w:rsidR="006D5A2A"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However, the settlement created a $</w:t>
      </w:r>
      <w:r w:rsidRPr="00F37576" w:rsidR="009B5958">
        <w:rPr>
          <w:rFonts w:ascii="Times New Roman" w:hAnsi="Times New Roman" w:cs="Times New Roman"/>
          <w:sz w:val="24"/>
          <w:szCs w:val="24"/>
        </w:rPr>
        <w:t xml:space="preserve">143 million for the settlement. This </w:t>
      </w:r>
      <w:r w:rsidRPr="00F37576">
        <w:rPr>
          <w:rFonts w:ascii="Times New Roman" w:hAnsi="Times New Roman" w:cs="Times New Roman"/>
          <w:sz w:val="24"/>
          <w:szCs w:val="24"/>
        </w:rPr>
        <w:t>Fund was going to make payments in the form of cash to the lawsuit class members, in another name, the victims of the Columbia Gas of Massachusetts.  Moreover, more situations needed to use the $143million for them to be a settlement. Such incidences included payments that were approved by the court for administration settlement, fees incurred in the attorney general's payment, all expenses that were incurred during the process of the lawsuit class, and awards of the class representative in the lawsuit. 
</w:t>
      </w:r>
    </w:p>
    <w:p w:rsidR="003F02C3"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In details, </w:t>
      </w:r>
      <w:r w:rsidRPr="00F37576" w:rsidR="00676210">
        <w:rPr>
          <w:rFonts w:ascii="Times New Roman" w:hAnsi="Times New Roman" w:cs="Times New Roman"/>
          <w:sz w:val="24"/>
          <w:szCs w:val="24"/>
        </w:rPr>
        <w:t>the counsel class requested the payment fee of the attorney, which was up to 16.5% of the Fund allocated for the settlement, which represented $4,290,000, a notice for the settlement, and the costs of the administration as well as the costs of the attorneys' and also expenses of up to 3% of the $4,290,000 fund allocated for the attorneys' fee. Also</w:t>
      </w:r>
      <w:r w:rsidRPr="00F37576" w:rsidR="00DF7E88">
        <w:rPr>
          <w:rFonts w:ascii="Times New Roman" w:hAnsi="Times New Roman" w:cs="Times New Roman"/>
          <w:sz w:val="24"/>
          <w:szCs w:val="24"/>
        </w:rPr>
        <w:t>, there</w:t>
      </w:r>
      <w:r w:rsidRPr="00F37576" w:rsidR="00DD2D73">
        <w:rPr>
          <w:rFonts w:ascii="Times New Roman" w:hAnsi="Times New Roman" w:cs="Times New Roman"/>
          <w:sz w:val="24"/>
          <w:szCs w:val="24"/>
        </w:rPr>
        <w:t xml:space="preserve"> was an award </w:t>
      </w:r>
      <w:r w:rsidRPr="00F37576" w:rsidR="00DF7E88">
        <w:rPr>
          <w:rFonts w:ascii="Times New Roman" w:hAnsi="Times New Roman" w:cs="Times New Roman"/>
          <w:sz w:val="24"/>
          <w:szCs w:val="24"/>
        </w:rPr>
        <w:t>of $</w:t>
      </w:r>
      <w:r w:rsidRPr="00F37576" w:rsidR="00DD2D73">
        <w:rPr>
          <w:rFonts w:ascii="Times New Roman" w:hAnsi="Times New Roman" w:cs="Times New Roman"/>
          <w:sz w:val="24"/>
          <w:szCs w:val="24"/>
        </w:rPr>
        <w:t xml:space="preserve">5,000 </w:t>
      </w:r>
      <w:r w:rsidRPr="00F37576" w:rsidR="00DF7E88">
        <w:rPr>
          <w:rFonts w:ascii="Times New Roman" w:hAnsi="Times New Roman" w:cs="Times New Roman"/>
          <w:sz w:val="24"/>
          <w:szCs w:val="24"/>
        </w:rPr>
        <w:t xml:space="preserve">given to each of the Class Representatives who were eight in number.  The agreement of all these amounts was arrived via the mediation process, which was between the offices of Healey </w:t>
      </w:r>
      <w:r w:rsidRPr="00F37576" w:rsidR="00C4111E">
        <w:rPr>
          <w:rFonts w:ascii="Times New Roman" w:hAnsi="Times New Roman" w:cs="Times New Roman"/>
          <w:sz w:val="24"/>
          <w:szCs w:val="24"/>
        </w:rPr>
        <w:t>and the attorney generals.</w:t>
      </w:r>
    </w:p>
    <w:p w:rsidR="00C4111E"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According to the announcements that were made on Thursday concerning the settlement, each Eversource was entitled to the hiring of </w:t>
      </w:r>
      <w:r w:rsidRPr="00F37576" w:rsidR="00751517">
        <w:rPr>
          <w:rFonts w:ascii="Times New Roman" w:hAnsi="Times New Roman" w:cs="Times New Roman"/>
          <w:sz w:val="24"/>
          <w:szCs w:val="24"/>
        </w:rPr>
        <w:t>a</w:t>
      </w:r>
      <w:r w:rsidRPr="00F37576">
        <w:rPr>
          <w:rFonts w:ascii="Times New Roman" w:hAnsi="Times New Roman" w:cs="Times New Roman"/>
          <w:sz w:val="24"/>
          <w:szCs w:val="24"/>
        </w:rPr>
        <w:t xml:space="preserve"> consultant who was expected to be independent </w:t>
      </w:r>
      <w:r w:rsidRPr="00F37576" w:rsidR="00751517">
        <w:rPr>
          <w:rFonts w:ascii="Times New Roman" w:hAnsi="Times New Roman" w:cs="Times New Roman"/>
          <w:sz w:val="24"/>
          <w:szCs w:val="24"/>
        </w:rPr>
        <w:t xml:space="preserve">to help in conduction of the analysis that was decarbonizing strategies for the business of its natural gas </w:t>
      </w:r>
      <w:r w:rsidRPr="00F37576" w:rsidR="00A25A2E">
        <w:rPr>
          <w:rFonts w:ascii="Times New Roman" w:hAnsi="Times New Roman" w:cs="Times New Roman"/>
          <w:sz w:val="24"/>
          <w:szCs w:val="24"/>
        </w:rPr>
        <w:t xml:space="preserve">in conjunction with the Baker managements net-zero greenhouse gas emissions by the target of 2050. </w:t>
      </w:r>
    </w:p>
    <w:p w:rsidR="00A25A2E"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Nevertheless, each case was to fulfill</w:t>
      </w:r>
      <w:r w:rsidRPr="00F37576" w:rsidR="00DF6D0E">
        <w:rPr>
          <w:rFonts w:ascii="Times New Roman" w:hAnsi="Times New Roman" w:cs="Times New Roman"/>
          <w:sz w:val="24"/>
          <w:szCs w:val="24"/>
        </w:rPr>
        <w:t xml:space="preserve"> the existing three-year efficiency plan of energy for</w:t>
      </w:r>
      <w:r w:rsidRPr="00F37576">
        <w:rPr>
          <w:rFonts w:ascii="Times New Roman" w:hAnsi="Times New Roman" w:cs="Times New Roman"/>
          <w:sz w:val="24"/>
          <w:szCs w:val="24"/>
        </w:rPr>
        <w:t xml:space="preserve"> Columbia Gas</w:t>
      </w:r>
      <w:r w:rsidRPr="00F37576" w:rsidR="00DF6D0E">
        <w:rPr>
          <w:rFonts w:ascii="Times New Roman" w:hAnsi="Times New Roman" w:cs="Times New Roman"/>
          <w:sz w:val="24"/>
          <w:szCs w:val="24"/>
        </w:rPr>
        <w:t xml:space="preserve">. </w:t>
      </w:r>
      <w:r w:rsidRPr="00F37576" w:rsidR="00C871C0">
        <w:rPr>
          <w:rFonts w:ascii="Times New Roman" w:hAnsi="Times New Roman" w:cs="Times New Roman"/>
          <w:sz w:val="24"/>
          <w:szCs w:val="24"/>
        </w:rPr>
        <w:t xml:space="preserve">Concerning the settlement, the set for Columbia Gas in 2015 was going to be extended via November 2021. Furthermore, Eversource was going to be required to be obligatory to spread the effect of its next ratio increase out over the period of two years.  This was alleged to be $16.7 million in November 2022 and also 6.3 million in November 2021.  In addition, every company was required to </w:t>
      </w:r>
      <w:r w:rsidRPr="00F37576" w:rsidR="00BF31AD">
        <w:rPr>
          <w:rFonts w:ascii="Times New Roman" w:hAnsi="Times New Roman" w:cs="Times New Roman"/>
          <w:sz w:val="24"/>
          <w:szCs w:val="24"/>
        </w:rPr>
        <w:t>make returns exceeding $6.7 to its customers.  These returns were to be included in the savings that the company saw from the Tax Cuts as well as the Jobs Act of the federal. 
</w:t>
      </w:r>
    </w:p>
    <w:p w:rsidR="00BF31AD"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In summation on the settlement issue, the lawsuit class members were entitled to the responsibility of providing a claim form for them to be eligible for a monetary award, which </w:t>
      </w:r>
      <w:r w:rsidRPr="00F37576">
        <w:rPr>
          <w:rFonts w:ascii="Times New Roman" w:hAnsi="Times New Roman" w:cs="Times New Roman"/>
          <w:sz w:val="24"/>
          <w:szCs w:val="24"/>
        </w:rPr>
        <w:t xml:space="preserve">would be from the lawsuit settlement. Determination of what to get was going to be determined via the claim process that was going to be supervised by the court. Also, all class </w:t>
      </w:r>
      <w:r w:rsidRPr="00F37576" w:rsidR="00BD4777">
        <w:rPr>
          <w:rFonts w:ascii="Times New Roman" w:hAnsi="Times New Roman" w:cs="Times New Roman"/>
          <w:sz w:val="24"/>
          <w:szCs w:val="24"/>
        </w:rPr>
        <w:t>members</w:t>
      </w:r>
      <w:r w:rsidRPr="00F37576">
        <w:rPr>
          <w:rFonts w:ascii="Times New Roman" w:hAnsi="Times New Roman" w:cs="Times New Roman"/>
          <w:sz w:val="24"/>
          <w:szCs w:val="24"/>
        </w:rPr>
        <w:t xml:space="preserve"> were to receive a varying amount of money. </w:t>
      </w:r>
      <w:r w:rsidRPr="00F37576" w:rsidR="00BD4777">
        <w:rPr>
          <w:rFonts w:ascii="Times New Roman" w:hAnsi="Times New Roman" w:cs="Times New Roman"/>
          <w:sz w:val="24"/>
          <w:szCs w:val="24"/>
        </w:rPr>
        <w:t xml:space="preserve"> Additionally, the settlement is considered distinct from the $80 million settlement of Columbia Gas', which was with Andover, Lawrence, and finally North Andover. 
</w:t>
      </w:r>
    </w:p>
    <w:p w:rsidR="004C10D6" w:rsidRPr="00BC0AC5" w:rsidP="00BC0AC5">
      <w:pPr>
        <w:spacing w:line="480" w:lineRule="auto"/>
        <w:ind w:firstLine="720"/>
        <w:jc w:val="center"/>
        <w:rPr>
          <w:rFonts w:ascii="Times New Roman" w:hAnsi="Times New Roman" w:cs="Times New Roman"/>
          <w:b/>
          <w:sz w:val="24"/>
          <w:szCs w:val="24"/>
        </w:rPr>
      </w:pPr>
      <w:r w:rsidRPr="00BC0AC5">
        <w:rPr>
          <w:rFonts w:ascii="Times New Roman" w:hAnsi="Times New Roman" w:cs="Times New Roman"/>
          <w:b/>
          <w:sz w:val="24"/>
          <w:szCs w:val="24"/>
        </w:rPr>
        <w:t>Issue 2</w:t>
      </w:r>
    </w:p>
    <w:p w:rsidR="004C10D6"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Payment is the second identified issue in the lawsuit of Columbia Gas of Massachusetts. </w:t>
      </w:r>
      <w:r w:rsidRPr="00F37576" w:rsidR="00C40A72">
        <w:rPr>
          <w:rFonts w:ascii="Times New Roman" w:hAnsi="Times New Roman" w:cs="Times New Roman"/>
          <w:sz w:val="24"/>
          <w:szCs w:val="24"/>
        </w:rPr>
        <w:t xml:space="preserve"> After the deductions that were made for the acceptance fee of the attorneys', Administration costs </w:t>
      </w:r>
      <w:r w:rsidRPr="00F37576" w:rsidR="00BE43F5">
        <w:rPr>
          <w:rFonts w:ascii="Times New Roman" w:hAnsi="Times New Roman" w:cs="Times New Roman"/>
          <w:sz w:val="24"/>
          <w:szCs w:val="24"/>
        </w:rPr>
        <w:t>and settlement</w:t>
      </w:r>
      <w:r w:rsidRPr="00F37576" w:rsidR="00C40A72">
        <w:rPr>
          <w:rFonts w:ascii="Times New Roman" w:hAnsi="Times New Roman" w:cs="Times New Roman"/>
          <w:sz w:val="24"/>
          <w:szCs w:val="24"/>
        </w:rPr>
        <w:t xml:space="preserve"> notice, and others </w:t>
      </w:r>
      <w:r w:rsidRPr="00F37576" w:rsidR="00BE43F5">
        <w:rPr>
          <w:rFonts w:ascii="Times New Roman" w:hAnsi="Times New Roman" w:cs="Times New Roman"/>
          <w:sz w:val="24"/>
          <w:szCs w:val="24"/>
        </w:rPr>
        <w:t>the,</w:t>
      </w:r>
      <w:r w:rsidRPr="00F37576" w:rsidR="00C40A72">
        <w:rPr>
          <w:rFonts w:ascii="Times New Roman" w:hAnsi="Times New Roman" w:cs="Times New Roman"/>
          <w:sz w:val="24"/>
          <w:szCs w:val="24"/>
        </w:rPr>
        <w:t xml:space="preserve"> the funds that were remaining were to be </w:t>
      </w:r>
      <w:r w:rsidRPr="00F37576" w:rsidR="00BE43F5">
        <w:rPr>
          <w:rFonts w:ascii="Times New Roman" w:hAnsi="Times New Roman" w:cs="Times New Roman"/>
          <w:sz w:val="24"/>
          <w:szCs w:val="24"/>
        </w:rPr>
        <w:t>distributed to the members of the class in two ways, which included:
</w:t>
      </w:r>
    </w:p>
    <w:p w:rsidR="00BE43F5" w:rsidRPr="00F37576" w:rsidP="00BC0AC5">
      <w:pPr>
        <w:spacing w:line="480" w:lineRule="auto"/>
        <w:ind w:firstLine="720"/>
        <w:jc w:val="center"/>
        <w:rPr>
          <w:rFonts w:ascii="Times New Roman" w:hAnsi="Times New Roman" w:cs="Times New Roman"/>
          <w:b/>
          <w:sz w:val="24"/>
          <w:szCs w:val="24"/>
        </w:rPr>
      </w:pPr>
      <w:r w:rsidRPr="00F37576">
        <w:rPr>
          <w:rFonts w:ascii="Times New Roman" w:hAnsi="Times New Roman" w:cs="Times New Roman"/>
          <w:b/>
          <w:sz w:val="24"/>
          <w:szCs w:val="24"/>
        </w:rPr>
        <w:t>Lump-Sum Payments.
</w:t>
      </w:r>
    </w:p>
    <w:p w:rsidR="00207DBB"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Each </w:t>
      </w:r>
      <w:r w:rsidRPr="00F37576" w:rsidR="00180059">
        <w:rPr>
          <w:rFonts w:ascii="Times New Roman" w:hAnsi="Times New Roman" w:cs="Times New Roman"/>
          <w:sz w:val="24"/>
          <w:szCs w:val="24"/>
        </w:rPr>
        <w:t>Class Members was expected to be granted a lump sum payment from the Fundsettlement's Fund. This distribution of the considerable amount of money was to be done with court-approved formula basis that was considering a given number of aspects, such as geographic location, displacement length, size of the household, and the nature of the property damage.  Never the less, ind</w:t>
      </w:r>
      <w:r w:rsidRPr="00F37576" w:rsidR="00F37576">
        <w:rPr>
          <w:rFonts w:ascii="Times New Roman" w:hAnsi="Times New Roman" w:cs="Times New Roman"/>
          <w:sz w:val="24"/>
          <w:szCs w:val="24"/>
        </w:rPr>
        <w:t xml:space="preserve">ividual payment of a </w:t>
      </w:r>
      <w:r w:rsidRPr="00F37576" w:rsidR="00BC0AC5">
        <w:rPr>
          <w:rFonts w:ascii="Times New Roman" w:hAnsi="Times New Roman" w:cs="Times New Roman"/>
          <w:sz w:val="24"/>
          <w:szCs w:val="24"/>
        </w:rPr>
        <w:t>person is going</w:t>
      </w:r>
      <w:r w:rsidRPr="00F37576">
        <w:rPr>
          <w:rFonts w:ascii="Times New Roman" w:hAnsi="Times New Roman" w:cs="Times New Roman"/>
          <w:sz w:val="24"/>
          <w:szCs w:val="24"/>
        </w:rPr>
        <w:t xml:space="preserve"> to be based on the way his or her life was disrupted as per the Settlement Administrator.</w:t>
      </w:r>
    </w:p>
    <w:p w:rsidR="00207DBB" w:rsidRPr="00F37576" w:rsidP="00BC0AC5">
      <w:pPr>
        <w:spacing w:line="480" w:lineRule="auto"/>
        <w:ind w:firstLine="720"/>
        <w:jc w:val="center"/>
        <w:rPr>
          <w:rFonts w:ascii="Times New Roman" w:hAnsi="Times New Roman" w:cs="Times New Roman"/>
          <w:b/>
          <w:sz w:val="24"/>
          <w:szCs w:val="24"/>
        </w:rPr>
      </w:pPr>
      <w:r w:rsidRPr="00F37576">
        <w:rPr>
          <w:rFonts w:ascii="Times New Roman" w:hAnsi="Times New Roman" w:cs="Times New Roman"/>
          <w:b/>
          <w:sz w:val="24"/>
          <w:szCs w:val="24"/>
        </w:rPr>
        <w:t>Itemized Compensation</w:t>
      </w:r>
    </w:p>
    <w:p w:rsidR="00207DBB"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Class Members who belonged to the business were only allowed to </w:t>
      </w:r>
      <w:r w:rsidRPr="00F37576" w:rsidR="002515E3">
        <w:rPr>
          <w:rFonts w:ascii="Times New Roman" w:hAnsi="Times New Roman" w:cs="Times New Roman"/>
          <w:sz w:val="24"/>
          <w:szCs w:val="24"/>
        </w:rPr>
        <w:t xml:space="preserve">submit </w:t>
      </w:r>
      <w:r w:rsidRPr="00F37576">
        <w:rPr>
          <w:rFonts w:ascii="Times New Roman" w:hAnsi="Times New Roman" w:cs="Times New Roman"/>
          <w:sz w:val="24"/>
          <w:szCs w:val="24"/>
        </w:rPr>
        <w:t>claims for itemized compensation only.</w:t>
      </w:r>
      <w:r w:rsidRPr="00F37576" w:rsidR="002515E3">
        <w:rPr>
          <w:rFonts w:ascii="Times New Roman" w:hAnsi="Times New Roman" w:cs="Times New Roman"/>
          <w:sz w:val="24"/>
          <w:szCs w:val="24"/>
        </w:rPr>
        <w:t xml:space="preserve"> The individuals belonging to the class members were to decide to submit an itemized claim for </w:t>
      </w:r>
      <w:r w:rsidRPr="00F37576" w:rsidR="002A52E5">
        <w:rPr>
          <w:rFonts w:ascii="Times New Roman" w:hAnsi="Times New Roman" w:cs="Times New Roman"/>
          <w:sz w:val="24"/>
          <w:szCs w:val="24"/>
        </w:rPr>
        <w:t>losses on the claim of lump sum payment if they have:</w:t>
      </w:r>
    </w:p>
    <w:p w:rsidR="002A52E5" w:rsidRPr="00F37576" w:rsidP="00F37576">
      <w:pPr>
        <w:pStyle w:val="ListParagraph"/>
        <w:numPr>
          <w:ilvl w:val="0"/>
          <w:numId w:val="2"/>
        </w:num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An existing non-solved pending claim in Columbia Gas' claims process that was supported by all documents that were supporting </w:t>
      </w:r>
      <w:r w:rsidRPr="00F37576">
        <w:rPr>
          <w:rFonts w:ascii="Times New Roman" w:hAnsi="Times New Roman" w:cs="Times New Roman"/>
          <w:sz w:val="24"/>
          <w:szCs w:val="24"/>
        </w:rPr>
        <w:t xml:space="preserve">the </w:t>
      </w:r>
      <w:r w:rsidRPr="00F37576">
        <w:rPr>
          <w:rFonts w:ascii="Times New Roman" w:hAnsi="Times New Roman" w:cs="Times New Roman"/>
          <w:sz w:val="24"/>
          <w:szCs w:val="24"/>
        </w:rPr>
        <w:t>unreimbursed losses. 
</w:t>
      </w:r>
    </w:p>
    <w:p w:rsidR="002A52E5" w:rsidRPr="00F37576" w:rsidP="00F37576">
      <w:pPr>
        <w:pStyle w:val="ListParagraph"/>
        <w:numPr>
          <w:ilvl w:val="0"/>
          <w:numId w:val="2"/>
        </w:num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An extraordinary claim for damages and losses that are not compensated.</w:t>
      </w:r>
    </w:p>
    <w:p w:rsidR="002A52E5"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In this case, there is an expectation that the Settlement Administrator was going to conduct a review which was detailed on claims of itemized compensation. However, the detailed review has essential capabilities to delay payments for both itemized compensation and lump sum payment. On the other side, claimers of itemized compensation </w:t>
      </w:r>
      <w:r w:rsidRPr="00F37576" w:rsidR="001033C5">
        <w:rPr>
          <w:rFonts w:ascii="Times New Roman" w:hAnsi="Times New Roman" w:cs="Times New Roman"/>
          <w:sz w:val="24"/>
          <w:szCs w:val="24"/>
        </w:rPr>
        <w:t>can probably be given the potential award, which might be reduced by the quantity of already received payments via the claims process of the original natural gas of Columbia Gas.
</w:t>
      </w:r>
    </w:p>
    <w:p w:rsidR="001033C5" w:rsidRPr="00BC0AC5" w:rsidP="00BC0AC5">
      <w:pPr>
        <w:spacing w:line="480" w:lineRule="auto"/>
        <w:ind w:firstLine="720"/>
        <w:jc w:val="center"/>
        <w:rPr>
          <w:rFonts w:ascii="Times New Roman" w:hAnsi="Times New Roman" w:cs="Times New Roman"/>
          <w:b/>
          <w:sz w:val="24"/>
          <w:szCs w:val="24"/>
        </w:rPr>
      </w:pPr>
      <w:r w:rsidRPr="00BC0AC5">
        <w:rPr>
          <w:rFonts w:ascii="Times New Roman" w:hAnsi="Times New Roman" w:cs="Times New Roman"/>
          <w:b/>
          <w:sz w:val="24"/>
          <w:szCs w:val="24"/>
        </w:rPr>
        <w:t>Issue 3</w:t>
      </w:r>
    </w:p>
    <w:p w:rsidR="00BE43F5"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The objection of a settlement has emerged as a third critical issue in Columbia Gas </w:t>
      </w:r>
      <w:r w:rsidRPr="00F37576">
        <w:rPr>
          <w:rFonts w:ascii="Times New Roman" w:hAnsi="Times New Roman" w:cs="Times New Roman"/>
          <w:sz w:val="24"/>
          <w:szCs w:val="24"/>
        </w:rPr>
        <w:t>of</w:t>
      </w:r>
      <w:r w:rsidRPr="00F37576">
        <w:rPr>
          <w:rFonts w:ascii="Times New Roman" w:hAnsi="Times New Roman" w:cs="Times New Roman"/>
          <w:sz w:val="24"/>
          <w:szCs w:val="24"/>
        </w:rPr>
        <w:t xml:space="preserve"> Massachusetts's lawsuit. Anyone or class member who is willing to take part in the lawsuit settlement but opts that the terms used in the settlement are unfair, they are allowed to object to the settlement.</w:t>
      </w:r>
      <w:r w:rsidRPr="00F37576" w:rsidR="00BB3F78">
        <w:rPr>
          <w:rFonts w:ascii="Times New Roman" w:hAnsi="Times New Roman" w:cs="Times New Roman"/>
          <w:sz w:val="24"/>
          <w:szCs w:val="24"/>
        </w:rPr>
        <w:t xml:space="preserve"> However, this can be done by writing and sending a letter to the administrator of the settlement expressing yourself and the reason why you think that the court should not approve the settlement.  In the letter, you should also say that you are writing to object to the settlement of the </w:t>
      </w:r>
      <w:r w:rsidRPr="00F37576" w:rsidR="00F06D24">
        <w:rPr>
          <w:rFonts w:ascii="Times New Roman" w:hAnsi="Times New Roman" w:cs="Times New Roman"/>
          <w:sz w:val="24"/>
          <w:szCs w:val="24"/>
        </w:rPr>
        <w:t xml:space="preserve">Columbia Gas of Massachusetts, include your name, the address of where you were living during the occurrence of the explosion, and if </w:t>
      </w:r>
      <w:r w:rsidRPr="00F37576" w:rsidR="00B52126">
        <w:rPr>
          <w:rFonts w:ascii="Times New Roman" w:hAnsi="Times New Roman" w:cs="Times New Roman"/>
          <w:sz w:val="24"/>
          <w:szCs w:val="24"/>
        </w:rPr>
        <w:t>a current place is</w:t>
      </w:r>
      <w:r w:rsidRPr="00F37576" w:rsidR="00F06D24">
        <w:rPr>
          <w:rFonts w:ascii="Times New Roman" w:hAnsi="Times New Roman" w:cs="Times New Roman"/>
          <w:sz w:val="24"/>
          <w:szCs w:val="24"/>
        </w:rPr>
        <w:t xml:space="preserve"> </w:t>
      </w:r>
      <w:r w:rsidRPr="00F37576" w:rsidR="00B52126">
        <w:rPr>
          <w:rFonts w:ascii="Times New Roman" w:hAnsi="Times New Roman" w:cs="Times New Roman"/>
          <w:sz w:val="24"/>
          <w:szCs w:val="24"/>
        </w:rPr>
        <w:t>you should include the address of the residential area and the mobile number.</w:t>
      </w:r>
    </w:p>
    <w:p w:rsidR="00B52126" w:rsidRPr="00F37576" w:rsidP="00F37576">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Additionally, one is expected to include his or her signature, personal documents that establish the status as a member of a class, specific facts or lawful reasons as to why not to approve </w:t>
      </w:r>
      <w:r w:rsidRPr="00F37576">
        <w:rPr>
          <w:rFonts w:ascii="Times New Roman" w:hAnsi="Times New Roman" w:cs="Times New Roman"/>
          <w:sz w:val="24"/>
          <w:szCs w:val="24"/>
        </w:rPr>
        <w:t xml:space="preserve">the settlement, and finally, if the person has an attorney representing him or her should include any class action settlements that were objected by his or her attorney </w:t>
      </w:r>
      <w:r w:rsidRPr="00F37576" w:rsidR="008A156D">
        <w:rPr>
          <w:rFonts w:ascii="Times New Roman" w:hAnsi="Times New Roman" w:cs="Times New Roman"/>
          <w:sz w:val="24"/>
          <w:szCs w:val="24"/>
        </w:rPr>
        <w:t>in the last years.</w:t>
      </w:r>
    </w:p>
    <w:p w:rsidR="00CB664F" w:rsidP="00F44DE6"/>
    <w:p w:rsidR="00CB664F" w:rsidRPr="00F37576" w:rsidP="00F44DE6">
      <w:pPr>
        <w:rPr>
          <w:rFonts w:ascii="Times New Roman" w:hAnsi="Times New Roman" w:cs="Times New Roman"/>
          <w:sz w:val="24"/>
          <w:szCs w:val="24"/>
        </w:rPr>
      </w:pPr>
    </w:p>
    <w:p w:rsidR="00CB664F" w:rsidRPr="00F37576" w:rsidP="00BC0AC5">
      <w:pPr>
        <w:jc w:val="center"/>
        <w:rPr>
          <w:rFonts w:ascii="Times New Roman" w:hAnsi="Times New Roman" w:cs="Times New Roman"/>
          <w:b/>
          <w:sz w:val="24"/>
          <w:szCs w:val="24"/>
        </w:rPr>
      </w:pPr>
      <w:r w:rsidRPr="00F37576">
        <w:rPr>
          <w:rFonts w:ascii="Times New Roman" w:hAnsi="Times New Roman" w:cs="Times New Roman"/>
          <w:b/>
          <w:sz w:val="24"/>
          <w:szCs w:val="24"/>
        </w:rPr>
        <w:t>Proposed Solutions Table</w:t>
      </w:r>
    </w:p>
    <w:tbl>
      <w:tblPr>
        <w:tblStyle w:val="TableGrid"/>
        <w:tblW w:w="0" w:type="auto"/>
        <w:tblLook w:val="04A0"/>
      </w:tblPr>
      <w:tblGrid>
        <w:gridCol w:w="3708"/>
        <w:gridCol w:w="5868"/>
      </w:tblGrid>
      <w:tr w:rsidTr="00CB664F">
        <w:tblPrEx>
          <w:tblW w:w="0" w:type="auto"/>
          <w:tblLook w:val="04A0"/>
        </w:tblPrEx>
        <w:tc>
          <w:tcPr>
            <w:tcW w:w="3708" w:type="dxa"/>
          </w:tcPr>
          <w:p w:rsidR="00CB664F" w:rsidRPr="00F37576" w:rsidP="00F44DE6">
            <w:pPr>
              <w:rPr>
                <w:rFonts w:ascii="Times New Roman" w:hAnsi="Times New Roman" w:cs="Times New Roman"/>
                <w:sz w:val="24"/>
                <w:szCs w:val="24"/>
              </w:rPr>
            </w:pPr>
          </w:p>
        </w:tc>
        <w:tc>
          <w:tcPr>
            <w:tcW w:w="5868" w:type="dxa"/>
          </w:tcPr>
          <w:p w:rsidR="00CB664F" w:rsidRPr="00F37576" w:rsidP="00F44DE6">
            <w:pPr>
              <w:rPr>
                <w:rFonts w:ascii="Times New Roman" w:hAnsi="Times New Roman" w:cs="Times New Roman"/>
                <w:sz w:val="24"/>
                <w:szCs w:val="24"/>
              </w:rPr>
            </w:pPr>
          </w:p>
        </w:tc>
      </w:tr>
      <w:tr w:rsidTr="00CB664F">
        <w:tblPrEx>
          <w:tblW w:w="0" w:type="auto"/>
          <w:tblLook w:val="04A0"/>
        </w:tblPrEx>
        <w:tc>
          <w:tcPr>
            <w:tcW w:w="3708" w:type="dxa"/>
          </w:tcPr>
          <w:p w:rsidR="00CB664F" w:rsidRPr="00F37576" w:rsidP="00F44DE6">
            <w:pPr>
              <w:rPr>
                <w:rFonts w:ascii="Times New Roman" w:hAnsi="Times New Roman" w:cs="Times New Roman"/>
                <w:b/>
                <w:sz w:val="24"/>
                <w:szCs w:val="24"/>
              </w:rPr>
            </w:pPr>
            <w:r w:rsidRPr="00F37576">
              <w:rPr>
                <w:rFonts w:ascii="Times New Roman" w:hAnsi="Times New Roman" w:cs="Times New Roman"/>
                <w:b/>
                <w:sz w:val="24"/>
                <w:szCs w:val="24"/>
              </w:rPr>
              <w:t>Issues#-Solution#</w:t>
            </w:r>
          </w:p>
          <w:p w:rsidR="00CB664F" w:rsidRPr="00F37576" w:rsidP="00F44DE6">
            <w:pPr>
              <w:rPr>
                <w:rFonts w:ascii="Times New Roman" w:hAnsi="Times New Roman" w:cs="Times New Roman"/>
                <w:sz w:val="24"/>
                <w:szCs w:val="24"/>
              </w:rPr>
            </w:pPr>
          </w:p>
        </w:tc>
        <w:tc>
          <w:tcPr>
            <w:tcW w:w="5868" w:type="dxa"/>
          </w:tcPr>
          <w:p w:rsidR="00CB664F" w:rsidRPr="00F37576" w:rsidP="00F44DE6">
            <w:pPr>
              <w:rPr>
                <w:rFonts w:ascii="Times New Roman" w:hAnsi="Times New Roman" w:cs="Times New Roman"/>
                <w:b/>
                <w:sz w:val="24"/>
                <w:szCs w:val="24"/>
              </w:rPr>
            </w:pPr>
            <w:r w:rsidRPr="00F37576">
              <w:rPr>
                <w:rFonts w:ascii="Times New Roman" w:hAnsi="Times New Roman" w:cs="Times New Roman"/>
                <w:b/>
                <w:sz w:val="24"/>
                <w:szCs w:val="24"/>
              </w:rPr>
              <w:t>Solution</w:t>
            </w:r>
          </w:p>
          <w:p w:rsidR="00CB664F" w:rsidRPr="00F37576" w:rsidP="00F44DE6">
            <w:pPr>
              <w:rPr>
                <w:rFonts w:ascii="Times New Roman" w:hAnsi="Times New Roman" w:cs="Times New Roman"/>
                <w:sz w:val="24"/>
                <w:szCs w:val="24"/>
              </w:rPr>
            </w:pPr>
          </w:p>
        </w:tc>
      </w:tr>
      <w:tr w:rsidTr="00D95A89">
        <w:tblPrEx>
          <w:tblW w:w="0" w:type="auto"/>
          <w:tblLook w:val="04A0"/>
        </w:tblPrEx>
        <w:tc>
          <w:tcPr>
            <w:tcW w:w="3708" w:type="dxa"/>
          </w:tcPr>
          <w:p w:rsidR="00D95A89" w:rsidRPr="00F37576" w:rsidP="00F44DE6">
            <w:pPr>
              <w:rPr>
                <w:rFonts w:ascii="Times New Roman" w:hAnsi="Times New Roman" w:cs="Times New Roman"/>
                <w:sz w:val="24"/>
                <w:szCs w:val="24"/>
              </w:rPr>
            </w:pPr>
            <w:r w:rsidRPr="00F37576">
              <w:rPr>
                <w:rFonts w:ascii="Times New Roman" w:hAnsi="Times New Roman" w:cs="Times New Roman"/>
                <w:sz w:val="24"/>
                <w:szCs w:val="24"/>
              </w:rPr>
              <w:t>1-1</w:t>
            </w:r>
          </w:p>
        </w:tc>
        <w:tc>
          <w:tcPr>
            <w:tcW w:w="5868" w:type="dxa"/>
          </w:tcPr>
          <w:p w:rsidR="00D95A89" w:rsidRPr="00BC0AC5" w:rsidP="00BC0AC5">
            <w:pPr>
              <w:pStyle w:val="ListParagraph"/>
              <w:numPr>
                <w:ilvl w:val="0"/>
                <w:numId w:val="4"/>
              </w:numPr>
              <w:rPr>
                <w:rFonts w:ascii="Times New Roman" w:hAnsi="Times New Roman" w:cs="Times New Roman"/>
                <w:sz w:val="24"/>
                <w:szCs w:val="24"/>
              </w:rPr>
            </w:pPr>
            <w:r w:rsidRPr="00BC0AC5">
              <w:rPr>
                <w:rFonts w:ascii="Times New Roman" w:hAnsi="Times New Roman" w:cs="Times New Roman"/>
                <w:sz w:val="24"/>
                <w:szCs w:val="24"/>
              </w:rPr>
              <w:t xml:space="preserve">Provision of </w:t>
            </w:r>
            <w:r w:rsidRPr="00BC0AC5" w:rsidR="00B4528B">
              <w:rPr>
                <w:rFonts w:ascii="Times New Roman" w:hAnsi="Times New Roman" w:cs="Times New Roman"/>
                <w:sz w:val="24"/>
                <w:szCs w:val="24"/>
              </w:rPr>
              <w:t>good</w:t>
            </w:r>
            <w:r w:rsidRPr="00BC0AC5">
              <w:rPr>
                <w:rFonts w:ascii="Times New Roman" w:hAnsi="Times New Roman" w:cs="Times New Roman"/>
                <w:sz w:val="24"/>
                <w:szCs w:val="24"/>
              </w:rPr>
              <w:t xml:space="preserve"> evidence to the lawsuit and ensuring that all details provided before the Supreme </w:t>
            </w:r>
            <w:r w:rsidRPr="00BC0AC5" w:rsidR="00B4528B">
              <w:rPr>
                <w:rFonts w:ascii="Times New Roman" w:hAnsi="Times New Roman" w:cs="Times New Roman"/>
                <w:sz w:val="24"/>
                <w:szCs w:val="24"/>
              </w:rPr>
              <w:t>Court avoid misunderstanding and contradictions among the involved parties.
</w:t>
            </w:r>
          </w:p>
        </w:tc>
      </w:tr>
      <w:tr w:rsidTr="00D95A89">
        <w:tblPrEx>
          <w:tblW w:w="0" w:type="auto"/>
          <w:tblLook w:val="04A0"/>
        </w:tblPrEx>
        <w:tc>
          <w:tcPr>
            <w:tcW w:w="3708" w:type="dxa"/>
          </w:tcPr>
          <w:p w:rsidR="00D95A89" w:rsidRPr="00F37576" w:rsidP="00F44DE6">
            <w:pPr>
              <w:rPr>
                <w:rFonts w:ascii="Times New Roman" w:hAnsi="Times New Roman" w:cs="Times New Roman"/>
                <w:sz w:val="24"/>
                <w:szCs w:val="24"/>
              </w:rPr>
            </w:pPr>
            <w:r w:rsidRPr="00F37576">
              <w:rPr>
                <w:rFonts w:ascii="Times New Roman" w:hAnsi="Times New Roman" w:cs="Times New Roman"/>
                <w:sz w:val="24"/>
                <w:szCs w:val="24"/>
              </w:rPr>
              <w:t>1-2</w:t>
            </w:r>
          </w:p>
        </w:tc>
        <w:tc>
          <w:tcPr>
            <w:tcW w:w="5868" w:type="dxa"/>
          </w:tcPr>
          <w:p w:rsidR="007A5A9A" w:rsidRPr="00BC0AC5" w:rsidP="00BC0AC5">
            <w:pPr>
              <w:pStyle w:val="ListParagraph"/>
              <w:numPr>
                <w:ilvl w:val="0"/>
                <w:numId w:val="4"/>
              </w:numPr>
              <w:rPr>
                <w:rFonts w:ascii="Times New Roman" w:hAnsi="Times New Roman" w:cs="Times New Roman"/>
                <w:sz w:val="24"/>
                <w:szCs w:val="24"/>
              </w:rPr>
            </w:pPr>
            <w:r w:rsidRPr="00BC0AC5">
              <w:rPr>
                <w:rFonts w:ascii="Times New Roman" w:hAnsi="Times New Roman" w:cs="Times New Roman"/>
                <w:sz w:val="24"/>
                <w:szCs w:val="24"/>
              </w:rPr>
              <w:t>Abide by the Supreme Court requirements and trying being ready to respond to the attorney as well as the Judge to help by facilitating and easing the case.
</w:t>
            </w:r>
          </w:p>
        </w:tc>
      </w:tr>
      <w:tr w:rsidTr="007A5A9A">
        <w:tblPrEx>
          <w:tblW w:w="0" w:type="auto"/>
          <w:tblLook w:val="04A0"/>
        </w:tblPrEx>
        <w:tc>
          <w:tcPr>
            <w:tcW w:w="3708" w:type="dxa"/>
          </w:tcPr>
          <w:p w:rsidR="007A5A9A" w:rsidRPr="00F37576" w:rsidP="00F44DE6">
            <w:pPr>
              <w:rPr>
                <w:rFonts w:ascii="Times New Roman" w:hAnsi="Times New Roman" w:cs="Times New Roman"/>
                <w:sz w:val="24"/>
                <w:szCs w:val="24"/>
              </w:rPr>
            </w:pPr>
            <w:r w:rsidRPr="00F37576">
              <w:rPr>
                <w:rFonts w:ascii="Times New Roman" w:hAnsi="Times New Roman" w:cs="Times New Roman"/>
                <w:sz w:val="24"/>
                <w:szCs w:val="24"/>
              </w:rPr>
              <w:t>2-1</w:t>
            </w:r>
          </w:p>
        </w:tc>
        <w:tc>
          <w:tcPr>
            <w:tcW w:w="5868" w:type="dxa"/>
          </w:tcPr>
          <w:p w:rsidR="007A5A9A" w:rsidRPr="00BC0AC5" w:rsidP="00BC0AC5">
            <w:pPr>
              <w:pStyle w:val="ListParagraph"/>
              <w:numPr>
                <w:ilvl w:val="0"/>
                <w:numId w:val="4"/>
              </w:numPr>
              <w:rPr>
                <w:rFonts w:ascii="Times New Roman" w:hAnsi="Times New Roman" w:cs="Times New Roman"/>
                <w:sz w:val="24"/>
                <w:szCs w:val="24"/>
              </w:rPr>
            </w:pPr>
            <w:r w:rsidRPr="00BC0AC5">
              <w:rPr>
                <w:rFonts w:ascii="Times New Roman" w:hAnsi="Times New Roman" w:cs="Times New Roman"/>
                <w:sz w:val="24"/>
                <w:szCs w:val="24"/>
              </w:rPr>
              <w:t xml:space="preserve">One is expected </w:t>
            </w:r>
            <w:r w:rsidRPr="00BC0AC5" w:rsidR="009540D6">
              <w:rPr>
                <w:rFonts w:ascii="Times New Roman" w:hAnsi="Times New Roman" w:cs="Times New Roman"/>
                <w:sz w:val="24"/>
                <w:szCs w:val="24"/>
              </w:rPr>
              <w:t>to make a list and summation of the harm and cause caused by the Columbia Gas of Massachusetts so that he can provide a detailed and precise claim for itemized compensation.
</w:t>
            </w:r>
          </w:p>
        </w:tc>
      </w:tr>
      <w:tr w:rsidTr="007A5A9A">
        <w:tblPrEx>
          <w:tblW w:w="0" w:type="auto"/>
          <w:tblLook w:val="04A0"/>
        </w:tblPrEx>
        <w:tc>
          <w:tcPr>
            <w:tcW w:w="3708" w:type="dxa"/>
          </w:tcPr>
          <w:p w:rsidR="007A5A9A" w:rsidRPr="00F37576" w:rsidP="00F44DE6">
            <w:pPr>
              <w:rPr>
                <w:rFonts w:ascii="Times New Roman" w:hAnsi="Times New Roman" w:cs="Times New Roman"/>
                <w:sz w:val="24"/>
                <w:szCs w:val="24"/>
              </w:rPr>
            </w:pPr>
            <w:r w:rsidRPr="00F37576">
              <w:rPr>
                <w:rFonts w:ascii="Times New Roman" w:hAnsi="Times New Roman" w:cs="Times New Roman"/>
                <w:sz w:val="24"/>
                <w:szCs w:val="24"/>
              </w:rPr>
              <w:t>2-2</w:t>
            </w:r>
          </w:p>
        </w:tc>
        <w:tc>
          <w:tcPr>
            <w:tcW w:w="5868" w:type="dxa"/>
          </w:tcPr>
          <w:p w:rsidR="007A5A9A" w:rsidRPr="00BC0AC5" w:rsidP="00BC0AC5">
            <w:pPr>
              <w:pStyle w:val="ListParagraph"/>
              <w:numPr>
                <w:ilvl w:val="0"/>
                <w:numId w:val="4"/>
              </w:numPr>
              <w:rPr>
                <w:rFonts w:ascii="Times New Roman" w:hAnsi="Times New Roman" w:cs="Times New Roman"/>
                <w:sz w:val="24"/>
                <w:szCs w:val="24"/>
              </w:rPr>
            </w:pPr>
            <w:r w:rsidRPr="00BC0AC5">
              <w:rPr>
                <w:rFonts w:ascii="Times New Roman" w:hAnsi="Times New Roman" w:cs="Times New Roman"/>
                <w:sz w:val="24"/>
                <w:szCs w:val="24"/>
              </w:rPr>
              <w:t>There should be an approximate profit, which can be included in the claiming form to ensure that the Class Member benefits from the explosion</w:t>
            </w:r>
            <w:r w:rsidRPr="00BC0AC5" w:rsidR="00157166">
              <w:rPr>
                <w:rFonts w:ascii="Times New Roman" w:hAnsi="Times New Roman" w:cs="Times New Roman"/>
                <w:sz w:val="24"/>
                <w:szCs w:val="24"/>
              </w:rPr>
              <w:t xml:space="preserve">. Also, submit all the requirements by the </w:t>
            </w:r>
            <w:r w:rsidRPr="00BC0AC5" w:rsidR="00157166">
              <w:rPr>
                <w:rFonts w:ascii="Times New Roman" w:hAnsi="Times New Roman" w:cs="Times New Roman"/>
                <w:sz w:val="24"/>
                <w:szCs w:val="24"/>
              </w:rPr>
              <w:t>supreme court</w:t>
            </w:r>
            <w:r w:rsidRPr="00BC0AC5" w:rsidR="00157166">
              <w:rPr>
                <w:rFonts w:ascii="Times New Roman" w:hAnsi="Times New Roman" w:cs="Times New Roman"/>
                <w:sz w:val="24"/>
                <w:szCs w:val="24"/>
              </w:rPr>
              <w:t xml:space="preserve"> in time to qualify for lump-sum payments and itemized compensation.</w:t>
            </w:r>
            <w:r w:rsidRPr="00BC0AC5">
              <w:rPr>
                <w:rFonts w:ascii="Times New Roman" w:hAnsi="Times New Roman" w:cs="Times New Roman"/>
                <w:sz w:val="24"/>
                <w:szCs w:val="24"/>
              </w:rPr>
              <w:t xml:space="preserve"> </w:t>
            </w:r>
          </w:p>
        </w:tc>
      </w:tr>
      <w:tr w:rsidTr="007A5A9A">
        <w:tblPrEx>
          <w:tblW w:w="0" w:type="auto"/>
          <w:tblLook w:val="04A0"/>
        </w:tblPrEx>
        <w:tc>
          <w:tcPr>
            <w:tcW w:w="3708" w:type="dxa"/>
          </w:tcPr>
          <w:p w:rsidR="007A5A9A" w:rsidRPr="00F37576" w:rsidP="00F44DE6">
            <w:pPr>
              <w:rPr>
                <w:rFonts w:ascii="Times New Roman" w:hAnsi="Times New Roman" w:cs="Times New Roman"/>
                <w:sz w:val="24"/>
                <w:szCs w:val="24"/>
              </w:rPr>
            </w:pPr>
            <w:r w:rsidRPr="00F37576">
              <w:rPr>
                <w:rFonts w:ascii="Times New Roman" w:hAnsi="Times New Roman" w:cs="Times New Roman"/>
                <w:sz w:val="24"/>
                <w:szCs w:val="24"/>
              </w:rPr>
              <w:t>3-1</w:t>
            </w:r>
          </w:p>
        </w:tc>
        <w:tc>
          <w:tcPr>
            <w:tcW w:w="5868" w:type="dxa"/>
          </w:tcPr>
          <w:p w:rsidR="007A5A9A" w:rsidRPr="00BC0AC5" w:rsidP="00BC0AC5">
            <w:pPr>
              <w:pStyle w:val="ListParagraph"/>
              <w:numPr>
                <w:ilvl w:val="0"/>
                <w:numId w:val="4"/>
              </w:numPr>
              <w:rPr>
                <w:rFonts w:ascii="Times New Roman" w:hAnsi="Times New Roman" w:cs="Times New Roman"/>
                <w:sz w:val="24"/>
                <w:szCs w:val="24"/>
              </w:rPr>
            </w:pPr>
            <w:r w:rsidRPr="00BC0AC5">
              <w:rPr>
                <w:rFonts w:ascii="Times New Roman" w:hAnsi="Times New Roman" w:cs="Times New Roman"/>
                <w:sz w:val="24"/>
                <w:szCs w:val="24"/>
              </w:rPr>
              <w:t>There should be writing and sending of a letter that sho</w:t>
            </w:r>
            <w:r w:rsidRPr="00BC0AC5" w:rsidR="00157166">
              <w:rPr>
                <w:rFonts w:ascii="Times New Roman" w:hAnsi="Times New Roman" w:cs="Times New Roman"/>
                <w:sz w:val="24"/>
                <w:szCs w:val="24"/>
              </w:rPr>
              <w:t>uld be addressed to the settlement administrator</w:t>
            </w:r>
            <w:r w:rsidRPr="00BC0AC5">
              <w:rPr>
                <w:rFonts w:ascii="Times New Roman" w:hAnsi="Times New Roman" w:cs="Times New Roman"/>
                <w:sz w:val="24"/>
                <w:szCs w:val="24"/>
              </w:rPr>
              <w:t xml:space="preserve"> </w:t>
            </w:r>
            <w:r w:rsidRPr="00BC0AC5" w:rsidR="00157166">
              <w:rPr>
                <w:rFonts w:ascii="Times New Roman" w:hAnsi="Times New Roman" w:cs="Times New Roman"/>
                <w:sz w:val="24"/>
                <w:szCs w:val="24"/>
              </w:rPr>
              <w:t>at a possible time informing him or her that you believe that the rems used during the settlement were unfair according to you, and you pledge with the supreme court not to approve the settlement.
</w:t>
            </w:r>
          </w:p>
        </w:tc>
      </w:tr>
      <w:tr w:rsidTr="007A5A9A">
        <w:tblPrEx>
          <w:tblW w:w="0" w:type="auto"/>
          <w:tblLook w:val="04A0"/>
        </w:tblPrEx>
        <w:tc>
          <w:tcPr>
            <w:tcW w:w="3708" w:type="dxa"/>
          </w:tcPr>
          <w:p w:rsidR="007A5A9A" w:rsidRPr="00F37576" w:rsidP="00F44DE6">
            <w:pPr>
              <w:rPr>
                <w:rFonts w:ascii="Times New Roman" w:hAnsi="Times New Roman" w:cs="Times New Roman"/>
                <w:sz w:val="24"/>
                <w:szCs w:val="24"/>
              </w:rPr>
            </w:pPr>
            <w:r w:rsidRPr="00F37576">
              <w:rPr>
                <w:rFonts w:ascii="Times New Roman" w:hAnsi="Times New Roman" w:cs="Times New Roman"/>
                <w:sz w:val="24"/>
                <w:szCs w:val="24"/>
              </w:rPr>
              <w:t>3-2</w:t>
            </w:r>
          </w:p>
        </w:tc>
        <w:tc>
          <w:tcPr>
            <w:tcW w:w="5868" w:type="dxa"/>
          </w:tcPr>
          <w:p w:rsidR="007A5A9A" w:rsidRPr="00BC0AC5" w:rsidP="00BC0AC5">
            <w:pPr>
              <w:pStyle w:val="ListParagraph"/>
              <w:numPr>
                <w:ilvl w:val="0"/>
                <w:numId w:val="4"/>
              </w:numPr>
              <w:rPr>
                <w:rFonts w:ascii="Times New Roman" w:hAnsi="Times New Roman" w:cs="Times New Roman"/>
                <w:sz w:val="24"/>
                <w:szCs w:val="24"/>
              </w:rPr>
            </w:pPr>
            <w:r w:rsidRPr="00BC0AC5">
              <w:rPr>
                <w:rFonts w:ascii="Times New Roman" w:hAnsi="Times New Roman" w:cs="Times New Roman"/>
                <w:sz w:val="24"/>
                <w:szCs w:val="24"/>
              </w:rPr>
              <w:t>One should not hire an attorney during the objection of a settlement</w:t>
            </w:r>
            <w:r w:rsidRPr="00BC0AC5" w:rsidR="00D77A8B">
              <w:rPr>
                <w:rFonts w:ascii="Times New Roman" w:hAnsi="Times New Roman" w:cs="Times New Roman"/>
                <w:sz w:val="24"/>
                <w:szCs w:val="24"/>
              </w:rPr>
              <w:t xml:space="preserve"> on his or her behalf and should satisfy all substantive requirements on behalf of the members of the clas</w:t>
            </w:r>
            <w:r w:rsidRPr="00BC0AC5" w:rsidR="00D342F3">
              <w:rPr>
                <w:rFonts w:ascii="Times New Roman" w:hAnsi="Times New Roman" w:cs="Times New Roman"/>
                <w:sz w:val="24"/>
                <w:szCs w:val="24"/>
              </w:rPr>
              <w:t>s.
</w:t>
            </w:r>
          </w:p>
        </w:tc>
      </w:tr>
    </w:tbl>
    <w:p w:rsidR="00CB664F" w:rsidRPr="00F37576" w:rsidP="00F44DE6">
      <w:pPr>
        <w:rPr>
          <w:rFonts w:ascii="Times New Roman" w:hAnsi="Times New Roman" w:cs="Times New Roman"/>
          <w:sz w:val="24"/>
          <w:szCs w:val="24"/>
        </w:rPr>
      </w:pPr>
    </w:p>
    <w:p w:rsidR="00342D14" w:rsidRPr="00F37576" w:rsidP="00BC0AC5">
      <w:pPr>
        <w:jc w:val="center"/>
        <w:rPr>
          <w:rFonts w:ascii="Times New Roman" w:hAnsi="Times New Roman" w:cs="Times New Roman"/>
          <w:b/>
          <w:sz w:val="24"/>
          <w:szCs w:val="24"/>
        </w:rPr>
      </w:pPr>
      <w:r w:rsidRPr="00F37576">
        <w:rPr>
          <w:rFonts w:ascii="Times New Roman" w:hAnsi="Times New Roman" w:cs="Times New Roman"/>
          <w:b/>
          <w:sz w:val="24"/>
          <w:szCs w:val="24"/>
        </w:rPr>
        <w:t>Pros and Cons Matrix</w:t>
      </w:r>
    </w:p>
    <w:p w:rsidR="008B414C" w:rsidRPr="00F37576" w:rsidP="00F44DE6">
      <w:pPr>
        <w:rPr>
          <w:rFonts w:ascii="Times New Roman" w:hAnsi="Times New Roman" w:cs="Times New Roman"/>
          <w:b/>
          <w:sz w:val="24"/>
          <w:szCs w:val="24"/>
        </w:rPr>
      </w:pPr>
    </w:p>
    <w:tbl>
      <w:tblPr>
        <w:tblStyle w:val="TableGrid"/>
        <w:tblW w:w="0" w:type="auto"/>
        <w:tblLook w:val="04A0"/>
      </w:tblPr>
      <w:tblGrid>
        <w:gridCol w:w="3192"/>
        <w:gridCol w:w="3192"/>
        <w:gridCol w:w="3192"/>
      </w:tblGrid>
      <w:tr w:rsidTr="00C32EA3">
        <w:tblPrEx>
          <w:tblW w:w="0" w:type="auto"/>
          <w:tblLook w:val="04A0"/>
        </w:tblPrEx>
        <w:tc>
          <w:tcPr>
            <w:tcW w:w="3192" w:type="dxa"/>
          </w:tcPr>
          <w:p w:rsidR="00C32EA3" w:rsidRPr="00F37576" w:rsidP="00F44DE6">
            <w:pPr>
              <w:rPr>
                <w:rFonts w:ascii="Times New Roman" w:hAnsi="Times New Roman" w:cs="Times New Roman"/>
                <w:b/>
                <w:sz w:val="24"/>
                <w:szCs w:val="24"/>
              </w:rPr>
            </w:pPr>
            <w:r w:rsidRPr="00F37576">
              <w:rPr>
                <w:rFonts w:ascii="Times New Roman" w:hAnsi="Times New Roman" w:cs="Times New Roman"/>
                <w:b/>
                <w:sz w:val="24"/>
                <w:szCs w:val="24"/>
              </w:rPr>
              <w:t>Solution</w:t>
            </w:r>
          </w:p>
        </w:tc>
        <w:tc>
          <w:tcPr>
            <w:tcW w:w="3192" w:type="dxa"/>
          </w:tcPr>
          <w:p w:rsidR="00C32EA3" w:rsidRPr="00F37576" w:rsidP="00F44DE6">
            <w:pPr>
              <w:rPr>
                <w:rFonts w:ascii="Times New Roman" w:hAnsi="Times New Roman" w:cs="Times New Roman"/>
                <w:b/>
                <w:sz w:val="24"/>
                <w:szCs w:val="24"/>
              </w:rPr>
            </w:pPr>
            <w:r w:rsidRPr="00F37576">
              <w:rPr>
                <w:rFonts w:ascii="Times New Roman" w:hAnsi="Times New Roman" w:cs="Times New Roman"/>
                <w:b/>
                <w:sz w:val="24"/>
                <w:szCs w:val="24"/>
              </w:rPr>
              <w:t>Pros</w:t>
            </w:r>
          </w:p>
        </w:tc>
        <w:tc>
          <w:tcPr>
            <w:tcW w:w="3192" w:type="dxa"/>
          </w:tcPr>
          <w:p w:rsidR="00C32EA3" w:rsidRPr="00F37576" w:rsidP="00F44DE6">
            <w:pPr>
              <w:rPr>
                <w:rFonts w:ascii="Times New Roman" w:hAnsi="Times New Roman" w:cs="Times New Roman"/>
                <w:b/>
                <w:sz w:val="24"/>
                <w:szCs w:val="24"/>
              </w:rPr>
            </w:pPr>
            <w:r w:rsidRPr="00F37576">
              <w:rPr>
                <w:rFonts w:ascii="Times New Roman" w:hAnsi="Times New Roman" w:cs="Times New Roman"/>
                <w:b/>
                <w:sz w:val="24"/>
                <w:szCs w:val="24"/>
              </w:rPr>
              <w:t>Cons</w:t>
            </w:r>
          </w:p>
        </w:tc>
      </w:tr>
      <w:tr w:rsidTr="00C32EA3">
        <w:tblPrEx>
          <w:tblW w:w="0" w:type="auto"/>
          <w:tblLook w:val="04A0"/>
        </w:tblPrEx>
        <w:tc>
          <w:tcPr>
            <w:tcW w:w="3192" w:type="dxa"/>
          </w:tcPr>
          <w:p w:rsidR="00C32EA3" w:rsidRPr="00F37576" w:rsidP="00F44DE6">
            <w:pPr>
              <w:rPr>
                <w:rFonts w:ascii="Times New Roman" w:hAnsi="Times New Roman" w:cs="Times New Roman"/>
                <w:sz w:val="24"/>
                <w:szCs w:val="24"/>
              </w:rPr>
            </w:pPr>
            <w:r w:rsidRPr="00F37576">
              <w:rPr>
                <w:rFonts w:ascii="Times New Roman" w:hAnsi="Times New Roman" w:cs="Times New Roman"/>
                <w:sz w:val="24"/>
                <w:szCs w:val="24"/>
              </w:rPr>
              <w:t>1-1 Provision of good evidence</w:t>
            </w:r>
          </w:p>
        </w:tc>
        <w:tc>
          <w:tcPr>
            <w:tcW w:w="3192" w:type="dxa"/>
          </w:tcPr>
          <w:p w:rsidR="00C32EA3" w:rsidRPr="00BC0AC5" w:rsidP="00BC0AC5">
            <w:pPr>
              <w:pStyle w:val="ListParagraph"/>
              <w:numPr>
                <w:ilvl w:val="0"/>
                <w:numId w:val="6"/>
              </w:numPr>
              <w:rPr>
                <w:rFonts w:ascii="Times New Roman" w:hAnsi="Times New Roman" w:cs="Times New Roman"/>
                <w:sz w:val="24"/>
                <w:szCs w:val="24"/>
              </w:rPr>
            </w:pPr>
            <w:r w:rsidRPr="00BC0AC5">
              <w:rPr>
                <w:rFonts w:ascii="Times New Roman" w:hAnsi="Times New Roman" w:cs="Times New Roman"/>
                <w:sz w:val="24"/>
                <w:szCs w:val="24"/>
              </w:rPr>
              <w:t>Eases the case by easing the work of involved parties</w:t>
            </w:r>
          </w:p>
        </w:tc>
        <w:tc>
          <w:tcPr>
            <w:tcW w:w="3192" w:type="dxa"/>
          </w:tcPr>
          <w:p w:rsidR="00C32EA3" w:rsidRPr="00BC0AC5" w:rsidP="00BC0AC5">
            <w:pPr>
              <w:pStyle w:val="ListParagraph"/>
              <w:numPr>
                <w:ilvl w:val="0"/>
                <w:numId w:val="5"/>
              </w:numPr>
              <w:rPr>
                <w:rFonts w:ascii="Times New Roman" w:hAnsi="Times New Roman" w:cs="Times New Roman"/>
                <w:sz w:val="24"/>
                <w:szCs w:val="24"/>
              </w:rPr>
            </w:pPr>
            <w:r w:rsidRPr="00BC0AC5">
              <w:rPr>
                <w:rFonts w:ascii="Times New Roman" w:hAnsi="Times New Roman" w:cs="Times New Roman"/>
                <w:sz w:val="24"/>
                <w:szCs w:val="24"/>
              </w:rPr>
              <w:t>Causes delay due to increased time when looking for pieces of evidence
</w:t>
            </w:r>
          </w:p>
        </w:tc>
      </w:tr>
      <w:tr w:rsidTr="00C32EA3">
        <w:tblPrEx>
          <w:tblW w:w="0" w:type="auto"/>
          <w:tblLook w:val="04A0"/>
        </w:tblPrEx>
        <w:tc>
          <w:tcPr>
            <w:tcW w:w="3192" w:type="dxa"/>
          </w:tcPr>
          <w:p w:rsidR="00C32EA3" w:rsidRPr="00F37576" w:rsidP="00F44DE6">
            <w:pPr>
              <w:rPr>
                <w:rFonts w:ascii="Times New Roman" w:hAnsi="Times New Roman" w:cs="Times New Roman"/>
                <w:sz w:val="24"/>
                <w:szCs w:val="24"/>
              </w:rPr>
            </w:pPr>
            <w:r w:rsidRPr="00F37576">
              <w:rPr>
                <w:rFonts w:ascii="Times New Roman" w:hAnsi="Times New Roman" w:cs="Times New Roman"/>
                <w:sz w:val="24"/>
                <w:szCs w:val="24"/>
              </w:rPr>
              <w:t>1-2 Abiding to the supreme court requirements</w:t>
            </w:r>
          </w:p>
        </w:tc>
        <w:tc>
          <w:tcPr>
            <w:tcW w:w="3192" w:type="dxa"/>
          </w:tcPr>
          <w:p w:rsidR="00C32EA3" w:rsidRPr="00BC0AC5" w:rsidP="00BC0AC5">
            <w:pPr>
              <w:pStyle w:val="ListParagraph"/>
              <w:numPr>
                <w:ilvl w:val="0"/>
                <w:numId w:val="6"/>
              </w:numPr>
              <w:rPr>
                <w:rFonts w:ascii="Times New Roman" w:hAnsi="Times New Roman" w:cs="Times New Roman"/>
                <w:sz w:val="24"/>
                <w:szCs w:val="24"/>
              </w:rPr>
            </w:pPr>
            <w:r w:rsidRPr="00BC0AC5">
              <w:rPr>
                <w:rFonts w:ascii="Times New Roman" w:hAnsi="Times New Roman" w:cs="Times New Roman"/>
                <w:sz w:val="24"/>
                <w:szCs w:val="24"/>
              </w:rPr>
              <w:t>Helps in good decision making of the Judge</w:t>
            </w:r>
          </w:p>
        </w:tc>
        <w:tc>
          <w:tcPr>
            <w:tcW w:w="3192" w:type="dxa"/>
          </w:tcPr>
          <w:p w:rsidR="00C32EA3" w:rsidRPr="00BC0AC5" w:rsidP="00BC0AC5">
            <w:pPr>
              <w:pStyle w:val="ListParagraph"/>
              <w:numPr>
                <w:ilvl w:val="0"/>
                <w:numId w:val="5"/>
              </w:numPr>
              <w:rPr>
                <w:rFonts w:ascii="Times New Roman" w:hAnsi="Times New Roman" w:cs="Times New Roman"/>
                <w:sz w:val="24"/>
                <w:szCs w:val="24"/>
              </w:rPr>
            </w:pPr>
            <w:r w:rsidRPr="00BC0AC5">
              <w:rPr>
                <w:rFonts w:ascii="Times New Roman" w:hAnsi="Times New Roman" w:cs="Times New Roman"/>
                <w:sz w:val="24"/>
                <w:szCs w:val="24"/>
              </w:rPr>
              <w:t>This leads to time limits because, most of the time, one must attend the court preceding's. 
</w:t>
            </w:r>
          </w:p>
        </w:tc>
      </w:tr>
      <w:tr w:rsidTr="00C32EA3">
        <w:tblPrEx>
          <w:tblW w:w="0" w:type="auto"/>
          <w:tblLook w:val="04A0"/>
        </w:tblPrEx>
        <w:tc>
          <w:tcPr>
            <w:tcW w:w="3192" w:type="dxa"/>
          </w:tcPr>
          <w:p w:rsidR="00C32EA3" w:rsidRPr="00F37576" w:rsidP="00F44DE6">
            <w:pPr>
              <w:rPr>
                <w:rFonts w:ascii="Times New Roman" w:hAnsi="Times New Roman" w:cs="Times New Roman"/>
                <w:sz w:val="24"/>
                <w:szCs w:val="24"/>
              </w:rPr>
            </w:pPr>
            <w:r w:rsidRPr="00F37576">
              <w:rPr>
                <w:rFonts w:ascii="Times New Roman" w:hAnsi="Times New Roman" w:cs="Times New Roman"/>
                <w:sz w:val="24"/>
                <w:szCs w:val="24"/>
              </w:rPr>
              <w:t>2-1 Making a list of loss incurred</w:t>
            </w:r>
          </w:p>
        </w:tc>
        <w:tc>
          <w:tcPr>
            <w:tcW w:w="3192" w:type="dxa"/>
          </w:tcPr>
          <w:p w:rsidR="00C32EA3" w:rsidRPr="00BC0AC5" w:rsidP="00BC0AC5">
            <w:pPr>
              <w:pStyle w:val="ListParagraph"/>
              <w:numPr>
                <w:ilvl w:val="0"/>
                <w:numId w:val="6"/>
              </w:numPr>
              <w:rPr>
                <w:rFonts w:ascii="Times New Roman" w:hAnsi="Times New Roman" w:cs="Times New Roman"/>
                <w:sz w:val="24"/>
                <w:szCs w:val="24"/>
              </w:rPr>
            </w:pPr>
            <w:r w:rsidRPr="00BC0AC5">
              <w:rPr>
                <w:rFonts w:ascii="Times New Roman" w:hAnsi="Times New Roman" w:cs="Times New Roman"/>
                <w:sz w:val="24"/>
                <w:szCs w:val="24"/>
              </w:rPr>
              <w:t>Helps in proving good evidence that results in reasonable payment
</w:t>
            </w:r>
          </w:p>
        </w:tc>
        <w:tc>
          <w:tcPr>
            <w:tcW w:w="3192" w:type="dxa"/>
          </w:tcPr>
          <w:p w:rsidR="00C32EA3" w:rsidRPr="00BC0AC5" w:rsidP="00BC0AC5">
            <w:pPr>
              <w:pStyle w:val="ListParagraph"/>
              <w:numPr>
                <w:ilvl w:val="0"/>
                <w:numId w:val="5"/>
              </w:numPr>
              <w:rPr>
                <w:rFonts w:ascii="Times New Roman" w:hAnsi="Times New Roman" w:cs="Times New Roman"/>
                <w:sz w:val="24"/>
                <w:szCs w:val="24"/>
              </w:rPr>
            </w:pPr>
            <w:r w:rsidRPr="00BC0AC5">
              <w:rPr>
                <w:rFonts w:ascii="Times New Roman" w:hAnsi="Times New Roman" w:cs="Times New Roman"/>
                <w:sz w:val="24"/>
                <w:szCs w:val="24"/>
              </w:rPr>
              <w:t xml:space="preserve">Time consumption in compelling of the list  </w:t>
            </w:r>
          </w:p>
        </w:tc>
      </w:tr>
      <w:tr w:rsidTr="00C32EA3">
        <w:tblPrEx>
          <w:tblW w:w="0" w:type="auto"/>
          <w:tblLook w:val="04A0"/>
        </w:tblPrEx>
        <w:tc>
          <w:tcPr>
            <w:tcW w:w="3192" w:type="dxa"/>
          </w:tcPr>
          <w:p w:rsidR="00C32EA3" w:rsidRPr="00F37576" w:rsidP="00F44DE6">
            <w:pPr>
              <w:rPr>
                <w:rFonts w:ascii="Times New Roman" w:hAnsi="Times New Roman" w:cs="Times New Roman"/>
                <w:sz w:val="24"/>
                <w:szCs w:val="24"/>
              </w:rPr>
            </w:pPr>
            <w:r w:rsidRPr="00F37576">
              <w:rPr>
                <w:rFonts w:ascii="Times New Roman" w:hAnsi="Times New Roman" w:cs="Times New Roman"/>
                <w:sz w:val="24"/>
                <w:szCs w:val="24"/>
              </w:rPr>
              <w:t>2-2 A</w:t>
            </w:r>
            <w:bookmarkStart w:id="0" w:name="_GoBack"/>
            <w:bookmarkEnd w:id="0"/>
            <w:r w:rsidRPr="00F37576">
              <w:rPr>
                <w:rFonts w:ascii="Times New Roman" w:hAnsi="Times New Roman" w:cs="Times New Roman"/>
                <w:sz w:val="24"/>
                <w:szCs w:val="24"/>
              </w:rPr>
              <w:t>pproximate aimed profit</w:t>
            </w:r>
          </w:p>
        </w:tc>
        <w:tc>
          <w:tcPr>
            <w:tcW w:w="3192" w:type="dxa"/>
          </w:tcPr>
          <w:p w:rsidR="00C32EA3" w:rsidRPr="00BC0AC5" w:rsidP="00BC0AC5">
            <w:pPr>
              <w:pStyle w:val="ListParagraph"/>
              <w:numPr>
                <w:ilvl w:val="0"/>
                <w:numId w:val="6"/>
              </w:numPr>
              <w:rPr>
                <w:rFonts w:ascii="Times New Roman" w:hAnsi="Times New Roman" w:cs="Times New Roman"/>
                <w:sz w:val="24"/>
                <w:szCs w:val="24"/>
              </w:rPr>
            </w:pPr>
            <w:r w:rsidRPr="00BC0AC5">
              <w:rPr>
                <w:rFonts w:ascii="Times New Roman" w:hAnsi="Times New Roman" w:cs="Times New Roman"/>
                <w:sz w:val="24"/>
                <w:szCs w:val="24"/>
              </w:rPr>
              <w:t>Help in the provision of reasonable lump sum payment 
</w:t>
            </w:r>
          </w:p>
        </w:tc>
        <w:tc>
          <w:tcPr>
            <w:tcW w:w="3192" w:type="dxa"/>
          </w:tcPr>
          <w:p w:rsidR="00C32EA3" w:rsidRPr="00BC0AC5" w:rsidP="00BC0AC5">
            <w:pPr>
              <w:pStyle w:val="ListParagraph"/>
              <w:numPr>
                <w:ilvl w:val="0"/>
                <w:numId w:val="5"/>
              </w:numPr>
              <w:rPr>
                <w:rFonts w:ascii="Times New Roman" w:hAnsi="Times New Roman" w:cs="Times New Roman"/>
                <w:sz w:val="24"/>
                <w:szCs w:val="24"/>
              </w:rPr>
            </w:pPr>
            <w:r w:rsidRPr="00BC0AC5">
              <w:rPr>
                <w:rFonts w:ascii="Times New Roman" w:hAnsi="Times New Roman" w:cs="Times New Roman"/>
                <w:sz w:val="24"/>
                <w:szCs w:val="24"/>
              </w:rPr>
              <w:t>Risk and can lead to termination of payments when realized by the payment authorities.</w:t>
            </w:r>
          </w:p>
        </w:tc>
      </w:tr>
      <w:tr w:rsidTr="00C32EA3">
        <w:tblPrEx>
          <w:tblW w:w="0" w:type="auto"/>
          <w:tblLook w:val="04A0"/>
        </w:tblPrEx>
        <w:tc>
          <w:tcPr>
            <w:tcW w:w="3192" w:type="dxa"/>
          </w:tcPr>
          <w:p w:rsidR="00C32EA3" w:rsidRPr="00F37576" w:rsidP="00F44DE6">
            <w:pPr>
              <w:rPr>
                <w:rFonts w:ascii="Times New Roman" w:hAnsi="Times New Roman" w:cs="Times New Roman"/>
                <w:sz w:val="24"/>
                <w:szCs w:val="24"/>
              </w:rPr>
            </w:pPr>
            <w:r w:rsidRPr="00F37576">
              <w:rPr>
                <w:rFonts w:ascii="Times New Roman" w:hAnsi="Times New Roman" w:cs="Times New Roman"/>
                <w:sz w:val="24"/>
                <w:szCs w:val="24"/>
              </w:rPr>
              <w:t>3-1 Sending of a letter to the settlement administrator
</w:t>
            </w:r>
          </w:p>
        </w:tc>
        <w:tc>
          <w:tcPr>
            <w:tcW w:w="3192" w:type="dxa"/>
          </w:tcPr>
          <w:p w:rsidR="00C32EA3" w:rsidRPr="00BC0AC5" w:rsidP="00BC0AC5">
            <w:pPr>
              <w:pStyle w:val="ListParagraph"/>
              <w:numPr>
                <w:ilvl w:val="0"/>
                <w:numId w:val="6"/>
              </w:numPr>
              <w:rPr>
                <w:rFonts w:ascii="Times New Roman" w:hAnsi="Times New Roman" w:cs="Times New Roman"/>
                <w:sz w:val="24"/>
                <w:szCs w:val="24"/>
              </w:rPr>
            </w:pPr>
            <w:r w:rsidRPr="00BC0AC5">
              <w:rPr>
                <w:rFonts w:ascii="Times New Roman" w:hAnsi="Times New Roman" w:cs="Times New Roman"/>
                <w:sz w:val="24"/>
                <w:szCs w:val="24"/>
              </w:rPr>
              <w:t>Helps in making the matter more precise and expressing your views in the right way
</w:t>
            </w:r>
          </w:p>
        </w:tc>
        <w:tc>
          <w:tcPr>
            <w:tcW w:w="3192" w:type="dxa"/>
          </w:tcPr>
          <w:p w:rsidR="00C32EA3" w:rsidRPr="00BC0AC5" w:rsidP="00BC0AC5">
            <w:pPr>
              <w:pStyle w:val="ListParagraph"/>
              <w:numPr>
                <w:ilvl w:val="0"/>
                <w:numId w:val="5"/>
              </w:numPr>
              <w:rPr>
                <w:rFonts w:ascii="Times New Roman" w:hAnsi="Times New Roman" w:cs="Times New Roman"/>
                <w:sz w:val="24"/>
                <w:szCs w:val="24"/>
              </w:rPr>
            </w:pPr>
            <w:r w:rsidRPr="00BC0AC5">
              <w:rPr>
                <w:rFonts w:ascii="Times New Roman" w:hAnsi="Times New Roman" w:cs="Times New Roman"/>
                <w:sz w:val="24"/>
                <w:szCs w:val="24"/>
              </w:rPr>
              <w:t>Time consumption because it leads to payments delay</w:t>
            </w:r>
          </w:p>
        </w:tc>
      </w:tr>
      <w:tr w:rsidTr="00FC5549">
        <w:tblPrEx>
          <w:tblW w:w="0" w:type="auto"/>
          <w:tblLook w:val="04A0"/>
        </w:tblPrEx>
        <w:tc>
          <w:tcPr>
            <w:tcW w:w="3192" w:type="dxa"/>
          </w:tcPr>
          <w:p w:rsidR="00FC5549" w:rsidRPr="00F37576" w:rsidP="00F44DE6">
            <w:pPr>
              <w:rPr>
                <w:rFonts w:ascii="Times New Roman" w:hAnsi="Times New Roman" w:cs="Times New Roman"/>
                <w:sz w:val="24"/>
                <w:szCs w:val="24"/>
              </w:rPr>
            </w:pPr>
            <w:r w:rsidRPr="00F37576">
              <w:rPr>
                <w:rFonts w:ascii="Times New Roman" w:hAnsi="Times New Roman" w:cs="Times New Roman"/>
                <w:sz w:val="24"/>
                <w:szCs w:val="24"/>
              </w:rPr>
              <w:t>3-2 Not hiring of an attorney</w:t>
            </w:r>
          </w:p>
        </w:tc>
        <w:tc>
          <w:tcPr>
            <w:tcW w:w="3192" w:type="dxa"/>
          </w:tcPr>
          <w:p w:rsidR="00FC5549" w:rsidRPr="00BC0AC5" w:rsidP="00BC0AC5">
            <w:pPr>
              <w:pStyle w:val="ListParagraph"/>
              <w:numPr>
                <w:ilvl w:val="0"/>
                <w:numId w:val="6"/>
              </w:numPr>
              <w:rPr>
                <w:rFonts w:ascii="Times New Roman" w:hAnsi="Times New Roman" w:cs="Times New Roman"/>
                <w:sz w:val="24"/>
                <w:szCs w:val="24"/>
              </w:rPr>
            </w:pPr>
            <w:r w:rsidRPr="00BC0AC5">
              <w:rPr>
                <w:rFonts w:ascii="Times New Roman" w:hAnsi="Times New Roman" w:cs="Times New Roman"/>
                <w:sz w:val="24"/>
                <w:szCs w:val="24"/>
              </w:rPr>
              <w:t>Saves on the cases incurred during the lawsuit</w:t>
            </w:r>
          </w:p>
        </w:tc>
        <w:tc>
          <w:tcPr>
            <w:tcW w:w="3192" w:type="dxa"/>
          </w:tcPr>
          <w:p w:rsidR="00FC5549" w:rsidRPr="00BC0AC5" w:rsidP="00BC0AC5">
            <w:pPr>
              <w:pStyle w:val="ListParagraph"/>
              <w:numPr>
                <w:ilvl w:val="0"/>
                <w:numId w:val="5"/>
              </w:numPr>
              <w:rPr>
                <w:rFonts w:ascii="Times New Roman" w:hAnsi="Times New Roman" w:cs="Times New Roman"/>
                <w:sz w:val="24"/>
                <w:szCs w:val="24"/>
              </w:rPr>
            </w:pPr>
            <w:r w:rsidRPr="00BC0AC5">
              <w:rPr>
                <w:rFonts w:ascii="Times New Roman" w:hAnsi="Times New Roman" w:cs="Times New Roman"/>
                <w:sz w:val="24"/>
                <w:szCs w:val="24"/>
              </w:rPr>
              <w:t>High risk of losing the objection of the settlement since you don’t have an attorney</w:t>
            </w:r>
          </w:p>
        </w:tc>
      </w:tr>
    </w:tbl>
    <w:p w:rsidR="00342D14" w:rsidRPr="00F37576" w:rsidP="00F44DE6">
      <w:pPr>
        <w:rPr>
          <w:rFonts w:ascii="Times New Roman" w:hAnsi="Times New Roman" w:cs="Times New Roman"/>
          <w:sz w:val="24"/>
          <w:szCs w:val="24"/>
        </w:rPr>
      </w:pPr>
    </w:p>
    <w:p w:rsidR="00040393" w:rsidRPr="00B02C22" w:rsidP="00B02C22">
      <w:pPr>
        <w:spacing w:line="480" w:lineRule="auto"/>
        <w:ind w:firstLine="720"/>
        <w:jc w:val="center"/>
        <w:rPr>
          <w:rFonts w:ascii="Times New Roman" w:hAnsi="Times New Roman" w:cs="Times New Roman"/>
          <w:sz w:val="24"/>
          <w:szCs w:val="24"/>
        </w:rPr>
      </w:pPr>
      <w:r w:rsidRPr="00B02C22">
        <w:rPr>
          <w:rFonts w:ascii="Times New Roman" w:hAnsi="Times New Roman" w:cs="Times New Roman"/>
          <w:sz w:val="24"/>
          <w:szCs w:val="24"/>
        </w:rPr>
        <w:t>Reference</w:t>
      </w:r>
    </w:p>
    <w:p w:rsidR="00B02C22" w:rsidRPr="00B02C22" w:rsidP="00B02C22">
      <w:pPr>
        <w:spacing w:line="480" w:lineRule="auto"/>
        <w:ind w:left="720" w:hanging="720"/>
        <w:jc w:val="both"/>
        <w:rPr>
          <w:rFonts w:ascii="Times New Roman" w:hAnsi="Times New Roman" w:cs="Times New Roman"/>
          <w:sz w:val="24"/>
          <w:szCs w:val="24"/>
        </w:rPr>
      </w:pPr>
      <w:hyperlink r:id="rId4" w:history="1">
        <w:r w:rsidRPr="00B02C22">
          <w:rPr>
            <w:rStyle w:val="Hyperlink"/>
            <w:rFonts w:ascii="Times New Roman" w:hAnsi="Times New Roman" w:cs="Times New Roman"/>
            <w:color w:val="auto"/>
            <w:sz w:val="24"/>
            <w:szCs w:val="24"/>
          </w:rPr>
          <w:t>http://www.columbiagasexplosionsettlement.com/home/faqs/#q6</w:t>
        </w:r>
      </w:hyperlink>
    </w:p>
    <w:p w:rsidR="00B02C22" w:rsidRPr="00B02C22" w:rsidP="00B02C22">
      <w:pPr>
        <w:spacing w:line="480" w:lineRule="auto"/>
        <w:ind w:left="720" w:hanging="720"/>
        <w:jc w:val="both"/>
        <w:rPr>
          <w:rFonts w:ascii="Times New Roman" w:hAnsi="Times New Roman" w:cs="Times New Roman"/>
          <w:sz w:val="24"/>
          <w:szCs w:val="24"/>
        </w:rPr>
      </w:pPr>
      <w:r w:rsidRPr="00B02C22">
        <w:rPr>
          <w:rFonts w:ascii="Times New Roman" w:hAnsi="Times New Roman" w:cs="Times New Roman"/>
          <w:sz w:val="24"/>
          <w:szCs w:val="24"/>
        </w:rPr>
        <w:t>https://www.spglobal.com/marketintelligence/en/news-insights/blog/q2-us-solar-and-wind-power-by-the-numbers</w:t>
      </w:r>
    </w:p>
    <w:p w:rsidR="00B02C22" w:rsidRPr="00B02C22" w:rsidP="00B02C22">
      <w:pPr>
        <w:spacing w:line="480" w:lineRule="auto"/>
        <w:ind w:left="720" w:hanging="720"/>
        <w:jc w:val="both"/>
        <w:rPr>
          <w:rFonts w:ascii="Times New Roman" w:hAnsi="Times New Roman" w:cs="Times New Roman"/>
          <w:sz w:val="24"/>
          <w:szCs w:val="24"/>
        </w:rPr>
      </w:pPr>
      <w:hyperlink r:id="rId5" w:history="1">
        <w:r w:rsidRPr="00B02C22">
          <w:rPr>
            <w:rStyle w:val="Hyperlink"/>
            <w:rFonts w:ascii="Times New Roman" w:hAnsi="Times New Roman" w:cs="Times New Roman"/>
            <w:color w:val="auto"/>
            <w:sz w:val="24"/>
            <w:szCs w:val="24"/>
          </w:rPr>
          <w:t>https://www.wbur.org/news/2020/07/02/columbia-gas-fine-merrimack-valley-explosions</w:t>
        </w:r>
      </w:hyperlink>
    </w:p>
    <w:p w:rsidR="00B02C22" w:rsidRPr="00B02C22" w:rsidP="00B02C22">
      <w:pPr>
        <w:spacing w:line="480" w:lineRule="auto"/>
        <w:ind w:left="720" w:hanging="720"/>
        <w:jc w:val="both"/>
        <w:rPr>
          <w:rFonts w:ascii="Times New Roman" w:hAnsi="Times New Roman" w:cs="Times New Roman"/>
          <w:sz w:val="24"/>
          <w:szCs w:val="24"/>
          <w:shd w:val="clear" w:color="auto" w:fill="FFFFFF"/>
        </w:rPr>
      </w:pPr>
      <w:r w:rsidRPr="00B02C22">
        <w:rPr>
          <w:rFonts w:ascii="Times New Roman" w:hAnsi="Times New Roman" w:cs="Times New Roman"/>
          <w:sz w:val="24"/>
          <w:szCs w:val="24"/>
          <w:shd w:val="clear" w:color="auto" w:fill="FFFFFF"/>
        </w:rPr>
        <w:t>Willey, R. J. (2020). Insights to the Columbia Gas Explosions Lawrence and North Andover, MA September 13, 2018. </w:t>
      </w:r>
      <w:r w:rsidRPr="00B02C22">
        <w:rPr>
          <w:rFonts w:ascii="Times New Roman" w:hAnsi="Times New Roman" w:cs="Times New Roman"/>
          <w:i/>
          <w:iCs/>
          <w:sz w:val="24"/>
          <w:szCs w:val="24"/>
          <w:shd w:val="clear" w:color="auto" w:fill="FFFFFF"/>
        </w:rPr>
        <w:t>Process Safety Progress</w:t>
      </w:r>
      <w:r w:rsidRPr="00B02C22">
        <w:rPr>
          <w:rFonts w:ascii="Times New Roman" w:hAnsi="Times New Roman" w:cs="Times New Roman"/>
          <w:sz w:val="24"/>
          <w:szCs w:val="24"/>
          <w:shd w:val="clear" w:color="auto" w:fill="FFFFFF"/>
        </w:rPr>
        <w:t>, e12195.</w:t>
      </w:r>
    </w:p>
    <w:sectPr w:rsidSect="00F37576">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61929705"/>
      <w:docPartObj>
        <w:docPartGallery w:val="Page Numbers (Top of Page)"/>
        <w:docPartUnique/>
      </w:docPartObj>
    </w:sdtPr>
    <w:sdtEndPr>
      <w:rPr>
        <w:noProof/>
      </w:rPr>
    </w:sdtEndPr>
    <w:sdtContent>
      <w:p w:rsidR="00F37576">
        <w:pPr>
          <w:pStyle w:val="Header"/>
          <w:jc w:val="right"/>
        </w:pPr>
        <w:r>
          <w:t>COLUMBIA GAS OF MASSACHUSETTS</w:t>
        </w:r>
        <w:r>
          <w:tab/>
        </w:r>
        <w:r>
          <w:tab/>
        </w:r>
        <w:r>
          <w:tab/>
        </w:r>
        <w:r>
          <w:fldChar w:fldCharType="begin"/>
        </w:r>
        <w:r>
          <w:instrText xml:space="preserve"> PAGE   \* MERGEFORMAT </w:instrText>
        </w:r>
        <w:r>
          <w:fldChar w:fldCharType="separate"/>
        </w:r>
        <w:r w:rsidR="00BC0AC5">
          <w:rPr>
            <w:noProof/>
          </w:rPr>
          <w:t>7</w:t>
        </w:r>
        <w:r>
          <w:rPr>
            <w:noProof/>
          </w:rPr>
          <w:fldChar w:fldCharType="end"/>
        </w:r>
      </w:p>
    </w:sdtContent>
  </w:sdt>
  <w:p w:rsidR="00F37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76">
    <w:pPr>
      <w:pStyle w:val="Header"/>
    </w:pPr>
    <w:r>
      <w:t xml:space="preserve">Running Head: </w:t>
    </w:r>
    <w:r>
      <w:t>COLUMBIA GAS OF MASSACHUSETTS</w:t>
    </w:r>
    <w:r>
      <w:t xml:space="preserve">  </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B17372"/>
    <w:multiLevelType w:val="hybridMultilevel"/>
    <w:tmpl w:val="3ECA34B4"/>
    <w:lvl w:ilvl="0">
      <w:start w:val="1"/>
      <w:numFmt w:val="decimal"/>
      <w:lvlText w:val="%1."/>
      <w:lvlJc w:val="left"/>
      <w:pPr>
        <w:ind w:left="772" w:hanging="360"/>
      </w:pPr>
    </w:lvl>
    <w:lvl w:ilvl="1" w:tentative="1">
      <w:start w:val="1"/>
      <w:numFmt w:val="lowerLetter"/>
      <w:lvlText w:val="%2."/>
      <w:lvlJc w:val="left"/>
      <w:pPr>
        <w:ind w:left="1492" w:hanging="360"/>
      </w:pPr>
    </w:lvl>
    <w:lvl w:ilvl="2" w:tentative="1">
      <w:start w:val="1"/>
      <w:numFmt w:val="lowerRoman"/>
      <w:lvlText w:val="%3."/>
      <w:lvlJc w:val="right"/>
      <w:pPr>
        <w:ind w:left="2212" w:hanging="180"/>
      </w:pPr>
    </w:lvl>
    <w:lvl w:ilvl="3" w:tentative="1">
      <w:start w:val="1"/>
      <w:numFmt w:val="decimal"/>
      <w:lvlText w:val="%4."/>
      <w:lvlJc w:val="left"/>
      <w:pPr>
        <w:ind w:left="2932" w:hanging="360"/>
      </w:pPr>
    </w:lvl>
    <w:lvl w:ilvl="4" w:tentative="1">
      <w:start w:val="1"/>
      <w:numFmt w:val="lowerLetter"/>
      <w:lvlText w:val="%5."/>
      <w:lvlJc w:val="left"/>
      <w:pPr>
        <w:ind w:left="3652" w:hanging="360"/>
      </w:pPr>
    </w:lvl>
    <w:lvl w:ilvl="5" w:tentative="1">
      <w:start w:val="1"/>
      <w:numFmt w:val="lowerRoman"/>
      <w:lvlText w:val="%6."/>
      <w:lvlJc w:val="right"/>
      <w:pPr>
        <w:ind w:left="4372" w:hanging="180"/>
      </w:pPr>
    </w:lvl>
    <w:lvl w:ilvl="6" w:tentative="1">
      <w:start w:val="1"/>
      <w:numFmt w:val="decimal"/>
      <w:lvlText w:val="%7."/>
      <w:lvlJc w:val="left"/>
      <w:pPr>
        <w:ind w:left="5092" w:hanging="360"/>
      </w:pPr>
    </w:lvl>
    <w:lvl w:ilvl="7" w:tentative="1">
      <w:start w:val="1"/>
      <w:numFmt w:val="lowerLetter"/>
      <w:lvlText w:val="%8."/>
      <w:lvlJc w:val="left"/>
      <w:pPr>
        <w:ind w:left="5812" w:hanging="360"/>
      </w:pPr>
    </w:lvl>
    <w:lvl w:ilvl="8" w:tentative="1">
      <w:start w:val="1"/>
      <w:numFmt w:val="lowerRoman"/>
      <w:lvlText w:val="%9."/>
      <w:lvlJc w:val="right"/>
      <w:pPr>
        <w:ind w:left="6532" w:hanging="180"/>
      </w:pPr>
    </w:lvl>
  </w:abstractNum>
  <w:abstractNum w:abstractNumId="1">
    <w:nsid w:val="1E35068B"/>
    <w:multiLevelType w:val="hybridMultilevel"/>
    <w:tmpl w:val="563E0A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1F5DAC"/>
    <w:multiLevelType w:val="hybridMultilevel"/>
    <w:tmpl w:val="A4942D8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D432AC3"/>
    <w:multiLevelType w:val="hybridMultilevel"/>
    <w:tmpl w:val="8BDAA8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27F7AA2"/>
    <w:multiLevelType w:val="hybridMultilevel"/>
    <w:tmpl w:val="D0968B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E6D07C0"/>
    <w:multiLevelType w:val="hybridMultilevel"/>
    <w:tmpl w:val="223A826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9F7"/>
    <w:rsid w:val="00036D99"/>
    <w:rsid w:val="00037FD4"/>
    <w:rsid w:val="00040393"/>
    <w:rsid w:val="000C619C"/>
    <w:rsid w:val="001033C5"/>
    <w:rsid w:val="00157166"/>
    <w:rsid w:val="00180059"/>
    <w:rsid w:val="001F420A"/>
    <w:rsid w:val="00207DBB"/>
    <w:rsid w:val="002515E3"/>
    <w:rsid w:val="002A52E5"/>
    <w:rsid w:val="002C24FD"/>
    <w:rsid w:val="00342D14"/>
    <w:rsid w:val="00352080"/>
    <w:rsid w:val="0036288E"/>
    <w:rsid w:val="003C54F1"/>
    <w:rsid w:val="003F02C3"/>
    <w:rsid w:val="00404CE1"/>
    <w:rsid w:val="00421D02"/>
    <w:rsid w:val="00444BCC"/>
    <w:rsid w:val="004655D5"/>
    <w:rsid w:val="004B0C4F"/>
    <w:rsid w:val="004C10D6"/>
    <w:rsid w:val="005A09FD"/>
    <w:rsid w:val="00637D4B"/>
    <w:rsid w:val="00664453"/>
    <w:rsid w:val="00676210"/>
    <w:rsid w:val="006A0A94"/>
    <w:rsid w:val="006A4D88"/>
    <w:rsid w:val="006D5A2A"/>
    <w:rsid w:val="006E6443"/>
    <w:rsid w:val="00751517"/>
    <w:rsid w:val="007A5A9A"/>
    <w:rsid w:val="00872F08"/>
    <w:rsid w:val="008A156D"/>
    <w:rsid w:val="008B414C"/>
    <w:rsid w:val="009540D6"/>
    <w:rsid w:val="009629EA"/>
    <w:rsid w:val="009B5958"/>
    <w:rsid w:val="009C786F"/>
    <w:rsid w:val="009F7484"/>
    <w:rsid w:val="00A25A2E"/>
    <w:rsid w:val="00A27117"/>
    <w:rsid w:val="00A55861"/>
    <w:rsid w:val="00A83638"/>
    <w:rsid w:val="00B02C22"/>
    <w:rsid w:val="00B4528B"/>
    <w:rsid w:val="00B52126"/>
    <w:rsid w:val="00BB3F78"/>
    <w:rsid w:val="00BC0AC5"/>
    <w:rsid w:val="00BD4777"/>
    <w:rsid w:val="00BE43F5"/>
    <w:rsid w:val="00BF31AD"/>
    <w:rsid w:val="00C2724A"/>
    <w:rsid w:val="00C32EA3"/>
    <w:rsid w:val="00C40A72"/>
    <w:rsid w:val="00C4111E"/>
    <w:rsid w:val="00C871C0"/>
    <w:rsid w:val="00CB3B94"/>
    <w:rsid w:val="00CB664F"/>
    <w:rsid w:val="00CC3000"/>
    <w:rsid w:val="00CF1751"/>
    <w:rsid w:val="00D342F3"/>
    <w:rsid w:val="00D77A8B"/>
    <w:rsid w:val="00D95A89"/>
    <w:rsid w:val="00DD2D73"/>
    <w:rsid w:val="00DF6D0E"/>
    <w:rsid w:val="00DF7E88"/>
    <w:rsid w:val="00E03C49"/>
    <w:rsid w:val="00E46180"/>
    <w:rsid w:val="00EA3A8E"/>
    <w:rsid w:val="00F04C63"/>
    <w:rsid w:val="00F06D24"/>
    <w:rsid w:val="00F37576"/>
    <w:rsid w:val="00F44DE6"/>
    <w:rsid w:val="00F67C0B"/>
    <w:rsid w:val="00F859F7"/>
    <w:rsid w:val="00FA57D6"/>
    <w:rsid w:val="00FC55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5D5"/>
    <w:pPr>
      <w:ind w:left="720"/>
      <w:contextualSpacing/>
    </w:pPr>
  </w:style>
  <w:style w:type="table" w:styleId="TableGrid">
    <w:name w:val="Table Grid"/>
    <w:basedOn w:val="TableNormal"/>
    <w:uiPriority w:val="59"/>
    <w:rsid w:val="00CB66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6">
    <w:name w:val="Light Shading Accent 6"/>
    <w:basedOn w:val="TableNormal"/>
    <w:uiPriority w:val="60"/>
    <w:rsid w:val="00CB664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
    <w:name w:val="Light Shading"/>
    <w:basedOn w:val="TableNormal"/>
    <w:uiPriority w:val="60"/>
    <w:rsid w:val="00CB664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CB664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Hyperlink">
    <w:name w:val="Hyperlink"/>
    <w:basedOn w:val="DefaultParagraphFont"/>
    <w:uiPriority w:val="99"/>
    <w:unhideWhenUsed/>
    <w:rsid w:val="008B414C"/>
    <w:rPr>
      <w:color w:val="0000FF" w:themeColor="hyperlink"/>
      <w:u w:val="single"/>
    </w:rPr>
  </w:style>
  <w:style w:type="paragraph" w:styleId="Header">
    <w:name w:val="header"/>
    <w:basedOn w:val="Normal"/>
    <w:link w:val="HeaderChar"/>
    <w:uiPriority w:val="99"/>
    <w:unhideWhenUsed/>
    <w:rsid w:val="00F37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576"/>
  </w:style>
  <w:style w:type="paragraph" w:styleId="Footer">
    <w:name w:val="footer"/>
    <w:basedOn w:val="Normal"/>
    <w:link w:val="FooterChar"/>
    <w:uiPriority w:val="99"/>
    <w:unhideWhenUsed/>
    <w:rsid w:val="00F37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lumbiagasexplosionsettlement.com/home/faqs/#q6" TargetMode="External" /><Relationship Id="rId5" Type="http://schemas.openxmlformats.org/officeDocument/2006/relationships/hyperlink" Target="https://www.wbur.org/news/2020/07/02/columbia-gas-fine-merrimack-valley-explosion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2293</Words>
  <Characters>13074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2020-10-16T18:38:00Z</dcterms:created>
  <dcterms:modified xsi:type="dcterms:W3CDTF">2020-10-16T18:38:00Z</dcterms:modified>
</cp:coreProperties>
</file>